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D8" w:rsidRPr="008C28D8" w:rsidRDefault="008C28D8" w:rsidP="008C28D8">
      <w:pPr>
        <w:widowControl/>
        <w:wordWrap w:val="0"/>
        <w:spacing w:before="100" w:beforeAutospacing="1" w:after="100" w:afterAutospacing="1"/>
        <w:jc w:val="left"/>
        <w:rPr>
          <w:rFonts w:ascii="楷体" w:eastAsia="楷体" w:hAnsi="楷体" w:cs="宋体"/>
          <w:kern w:val="0"/>
          <w:sz w:val="24"/>
          <w:szCs w:val="24"/>
        </w:rPr>
      </w:pPr>
      <w:r w:rsidRPr="008C28D8">
        <w:rPr>
          <w:rFonts w:ascii="楷体" w:eastAsia="楷体" w:hAnsi="楷体" w:cs="宋体" w:hint="eastAsia"/>
          <w:kern w:val="0"/>
          <w:sz w:val="24"/>
          <w:szCs w:val="24"/>
        </w:rPr>
        <w:t>附件</w:t>
      </w:r>
    </w:p>
    <w:p w:rsidR="008C28D8" w:rsidRPr="008C28D8" w:rsidRDefault="008C28D8" w:rsidP="008C28D8">
      <w:pPr>
        <w:widowControl/>
        <w:wordWrap w:val="0"/>
        <w:spacing w:before="100" w:beforeAutospacing="1" w:after="100" w:afterAutospacing="1" w:line="600" w:lineRule="atLeast"/>
        <w:jc w:val="left"/>
        <w:rPr>
          <w:rFonts w:ascii="楷体" w:eastAsia="楷体" w:hAnsi="楷体" w:cs="宋体" w:hint="eastAsia"/>
          <w:kern w:val="0"/>
          <w:sz w:val="24"/>
          <w:szCs w:val="24"/>
        </w:rPr>
      </w:pPr>
      <w:r w:rsidRPr="008C28D8">
        <w:rPr>
          <w:rFonts w:ascii="宋体" w:eastAsia="宋体" w:hAnsi="宋体" w:cs="宋体" w:hint="eastAsia"/>
          <w:kern w:val="0"/>
          <w:sz w:val="24"/>
          <w:szCs w:val="24"/>
        </w:rPr>
        <w:t> </w:t>
      </w:r>
    </w:p>
    <w:p w:rsidR="008C28D8" w:rsidRPr="008C28D8" w:rsidRDefault="008C28D8" w:rsidP="008C28D8">
      <w:pPr>
        <w:widowControl/>
        <w:wordWrap w:val="0"/>
        <w:spacing w:before="100" w:beforeAutospacing="1" w:after="100" w:afterAutospacing="1" w:line="600" w:lineRule="atLeast"/>
        <w:jc w:val="center"/>
        <w:rPr>
          <w:rFonts w:ascii="楷体" w:eastAsia="楷体" w:hAnsi="楷体" w:cs="宋体" w:hint="eastAsia"/>
          <w:b/>
          <w:kern w:val="0"/>
          <w:sz w:val="24"/>
          <w:szCs w:val="24"/>
        </w:rPr>
      </w:pPr>
      <w:r w:rsidRPr="008C28D8">
        <w:rPr>
          <w:rFonts w:ascii="楷体" w:eastAsia="楷体" w:hAnsi="楷体" w:cs="宋体" w:hint="eastAsia"/>
          <w:b/>
          <w:kern w:val="0"/>
          <w:sz w:val="24"/>
          <w:szCs w:val="24"/>
        </w:rPr>
        <w:t>2017年度广东省承压类特种设备部件产品质量专项监督抽查实施细则</w:t>
      </w:r>
    </w:p>
    <w:p w:rsidR="008C28D8" w:rsidRPr="008C28D8" w:rsidRDefault="008C28D8" w:rsidP="008C28D8">
      <w:pPr>
        <w:widowControl/>
        <w:wordWrap w:val="0"/>
        <w:spacing w:before="100" w:beforeAutospacing="1" w:after="100" w:afterAutospacing="1" w:line="600" w:lineRule="atLeast"/>
        <w:ind w:firstLine="396"/>
        <w:jc w:val="left"/>
        <w:rPr>
          <w:rFonts w:ascii="楷体" w:eastAsia="楷体" w:hAnsi="楷体" w:cs="宋体" w:hint="eastAsia"/>
          <w:kern w:val="0"/>
          <w:sz w:val="24"/>
          <w:szCs w:val="24"/>
        </w:rPr>
      </w:pPr>
      <w:r w:rsidRPr="008C28D8">
        <w:rPr>
          <w:rFonts w:ascii="宋体" w:eastAsia="宋体" w:hAnsi="宋体" w:cs="宋体" w:hint="eastAsia"/>
          <w:kern w:val="0"/>
          <w:sz w:val="24"/>
          <w:szCs w:val="24"/>
        </w:rPr>
        <w:t> </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1.适用范围</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本细则适用于2017年度广东省承压类特种设备部件产品质量专项监督抽查。</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2.抽查区域</w:t>
      </w:r>
    </w:p>
    <w:p w:rsidR="008C28D8" w:rsidRPr="008C28D8" w:rsidRDefault="008C28D8" w:rsidP="008C28D8">
      <w:pPr>
        <w:widowControl/>
        <w:wordWrap w:val="0"/>
        <w:spacing w:before="100" w:beforeAutospacing="1" w:after="100" w:afterAutospacing="1"/>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抽查区域包括广东省范围内：相关制造单位成品仓库；相关市场流通领的销售单位成品库；特种设备从业单位备品库。</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3.抽查产品及批次</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本次监督抽查的产品包括安全阀、管板、封头，具体抽查批次：安全阀30批次、管板20批次、封头20批次，共70批次。所有被</w:t>
      </w:r>
      <w:proofErr w:type="gramStart"/>
      <w:r w:rsidRPr="008C28D8">
        <w:rPr>
          <w:rFonts w:ascii="楷体" w:eastAsia="楷体" w:hAnsi="楷体" w:cs="宋体" w:hint="eastAsia"/>
          <w:kern w:val="0"/>
          <w:sz w:val="24"/>
          <w:szCs w:val="24"/>
        </w:rPr>
        <w:t>抽产品</w:t>
      </w:r>
      <w:proofErr w:type="gramEnd"/>
      <w:r w:rsidRPr="008C28D8">
        <w:rPr>
          <w:rFonts w:ascii="楷体" w:eastAsia="楷体" w:hAnsi="楷体" w:cs="宋体" w:hint="eastAsia"/>
          <w:kern w:val="0"/>
          <w:sz w:val="24"/>
          <w:szCs w:val="24"/>
        </w:rPr>
        <w:t>必须是取得相关特种设备制造许可证的合法厂家生产的用于承压类特种设备的部件产品。按照随机抽样原则，一般每个制造单位每类产品不同规格的抽样数不多于2批次，每批次产品抽取同规格样品2件，1件用于检验，1件作为备样。</w:t>
      </w:r>
      <w:proofErr w:type="gramStart"/>
      <w:r w:rsidRPr="008C28D8">
        <w:rPr>
          <w:rFonts w:ascii="楷体" w:eastAsia="楷体" w:hAnsi="楷体" w:cs="宋体" w:hint="eastAsia"/>
          <w:kern w:val="0"/>
          <w:sz w:val="24"/>
          <w:szCs w:val="24"/>
        </w:rPr>
        <w:t>备样可</w:t>
      </w:r>
      <w:proofErr w:type="gramEnd"/>
      <w:r w:rsidRPr="008C28D8">
        <w:rPr>
          <w:rFonts w:ascii="楷体" w:eastAsia="楷体" w:hAnsi="楷体" w:cs="宋体" w:hint="eastAsia"/>
          <w:kern w:val="0"/>
          <w:sz w:val="24"/>
          <w:szCs w:val="24"/>
        </w:rPr>
        <w:t>保存在被抽查单位产品库内。所有样品应有适当的封存措施，以保证样品状态的一致性。</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4.检验工作细则</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4.1检验依据</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（1）TSG ZF001-2006《安全阀安全技术监察规程》</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（2）GB/T 12241-2005《安全阀 一般要求》</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（3）GB/T 12242-2005《压力释放装置 性能试验规范》</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（4）GB/T 12243-2005《弹簧直接载荷式安全阀》</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（5）JB/T 6441-2008《压缩机用安全阀》</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（6）GB/T231.1-2009《金属材料 布氏硬度试验 第1部分：试验方法》</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lastRenderedPageBreak/>
        <w:t>（7）GB/T4336—2016《</w:t>
      </w:r>
      <w:hyperlink r:id="rId4" w:history="1">
        <w:r w:rsidRPr="008C28D8">
          <w:rPr>
            <w:rFonts w:ascii="楷体" w:eastAsia="楷体" w:hAnsi="楷体" w:cs="宋体" w:hint="eastAsia"/>
            <w:kern w:val="0"/>
            <w:sz w:val="24"/>
            <w:szCs w:val="24"/>
          </w:rPr>
          <w:t>碳素钢和中低合金钢多元素含量的测定火花放电原子发射光谱法（常规法）</w:t>
        </w:r>
      </w:hyperlink>
      <w:r w:rsidRPr="008C28D8">
        <w:rPr>
          <w:rFonts w:ascii="楷体" w:eastAsia="楷体" w:hAnsi="楷体" w:cs="宋体" w:hint="eastAsia"/>
          <w:kern w:val="0"/>
          <w:sz w:val="24"/>
          <w:szCs w:val="24"/>
        </w:rPr>
        <w:t>》</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（8）TSG G0001-2012《锅炉安全技术监察规程》</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（9）GB/T25198-2010《压力容器封头》</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（10）GB/T16508.1-8：2013《锅壳锅炉》</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（11）《中华人民共和国产品质量法》</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（12）《中华人民共和国特种设备安全法》</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（13）《广东省特种设备安全条例》</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（14）企业生产依据的其他现行有效的标准及经备案现行有效的企业标准</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4.2检验项目</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4.2.1安全阀产品监督抽查检验项目</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安全阀以TSG ZF001-2006《安全阀安全技术监察规程》、GB/T 12241-2005《安全阀一般要求》和GB/T 12243-2005《弹簧直接载荷式安全阀》确定抽查检验项目与判定规则，如企业生产依据其他的国内、外标准，抽查检验项目与判定规则由企业生产依据标准确定。安全阀的抽查检验项目和判定规则如下表所示：</w:t>
      </w:r>
    </w:p>
    <w:p w:rsidR="008C28D8" w:rsidRPr="008C28D8" w:rsidRDefault="008C28D8" w:rsidP="008C28D8">
      <w:pPr>
        <w:widowControl/>
        <w:wordWrap w:val="0"/>
        <w:spacing w:before="100" w:beforeAutospacing="1" w:after="100" w:afterAutospacing="1" w:line="360" w:lineRule="auto"/>
        <w:jc w:val="center"/>
        <w:rPr>
          <w:rFonts w:ascii="楷体" w:eastAsia="楷体" w:hAnsi="楷体" w:cs="宋体" w:hint="eastAsia"/>
          <w:kern w:val="0"/>
          <w:sz w:val="24"/>
          <w:szCs w:val="24"/>
        </w:rPr>
      </w:pPr>
      <w:r w:rsidRPr="008C28D8">
        <w:rPr>
          <w:rFonts w:ascii="楷体" w:eastAsia="楷体" w:hAnsi="楷体" w:cs="宋体" w:hint="eastAsia"/>
          <w:b/>
          <w:bCs/>
          <w:kern w:val="0"/>
          <w:sz w:val="24"/>
          <w:szCs w:val="24"/>
        </w:rPr>
        <w:t>表1：安全阀检验项目和判定规则</w:t>
      </w:r>
    </w:p>
    <w:tbl>
      <w:tblPr>
        <w:tblW w:w="0" w:type="auto"/>
        <w:tblInd w:w="-252" w:type="dxa"/>
        <w:tblCellMar>
          <w:left w:w="0" w:type="dxa"/>
          <w:right w:w="0" w:type="dxa"/>
        </w:tblCellMar>
        <w:tblLook w:val="04A0"/>
      </w:tblPr>
      <w:tblGrid>
        <w:gridCol w:w="1064"/>
        <w:gridCol w:w="1658"/>
        <w:gridCol w:w="1662"/>
        <w:gridCol w:w="4390"/>
      </w:tblGrid>
      <w:tr w:rsidR="008C28D8" w:rsidRPr="008C28D8" w:rsidTr="008C28D8">
        <w:tc>
          <w:tcPr>
            <w:tcW w:w="106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检验项目</w:t>
            </w:r>
          </w:p>
        </w:tc>
        <w:tc>
          <w:tcPr>
            <w:tcW w:w="1701"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检验依据</w:t>
            </w:r>
          </w:p>
        </w:tc>
        <w:tc>
          <w:tcPr>
            <w:tcW w:w="1701"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检验内容</w:t>
            </w:r>
          </w:p>
        </w:tc>
        <w:tc>
          <w:tcPr>
            <w:tcW w:w="4529" w:type="dxa"/>
            <w:tcBorders>
              <w:top w:val="single" w:sz="12" w:space="0" w:color="auto"/>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判定规则</w:t>
            </w: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阀体标志和铅封</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TSG ZF001-2006、</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GB/T 12241-2005、</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JB/T 6441-2008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阀体标志、铭牌和铅封</w:t>
            </w:r>
          </w:p>
        </w:tc>
        <w:tc>
          <w:tcPr>
            <w:tcW w:w="4529"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在安全阀名牌上或者安全阀外表面至少有以下内容的明显标志：安全阀制造许可证编号及标志；制造单位名称；安全阀型号；制造日期及其产品编号；公称压力；公称通径；流道面积或流道直径；整定压力；阀体材料；</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阀门设计的极限工作温度；标明基准流体（空气用G，蒸汽用S，水用L表示）的额定排量系数或额定排量（流体代号可置于额定排量系数或额定排量之前或之后）；最小开启高度以及相应的超过压力。</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安全阀的铅封：所有安全阀应由制造厂、</w:t>
            </w:r>
            <w:r w:rsidRPr="008C28D8">
              <w:rPr>
                <w:rFonts w:ascii="楷体" w:eastAsia="楷体" w:hAnsi="楷体" w:cs="宋体" w:hint="eastAsia"/>
                <w:kern w:val="0"/>
                <w:sz w:val="24"/>
                <w:szCs w:val="24"/>
              </w:rPr>
              <w:lastRenderedPageBreak/>
              <w:t>及其代表或有关负责机构进行铅封。</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压缩机用安全阀须满足JB/T 6441-2008要求</w:t>
            </w: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lastRenderedPageBreak/>
              <w:t>密封性能</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TSG ZF001-2006、</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GB/T 12243-2005、</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JB/T 6441-2008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密封试验</w:t>
            </w:r>
          </w:p>
        </w:tc>
        <w:tc>
          <w:tcPr>
            <w:tcW w:w="4529"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密封试验的允许泄漏率不能超过GB/T 12243-2005中5.6或JB/T 6441-2008《压缩机用安全阀》的规定。</w:t>
            </w: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整定压力</w:t>
            </w: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GB/T 12241-2005、</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GB/T 12242-2005、</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GB/T 12243-2005、</w:t>
            </w:r>
          </w:p>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JB/T 6441-2008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整定压力</w:t>
            </w:r>
          </w:p>
        </w:tc>
        <w:tc>
          <w:tcPr>
            <w:tcW w:w="4529" w:type="dxa"/>
            <w:vMerge w:val="restart"/>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不能超出GB/T12241-2005和GB/T 12243-2005、JB/T 6441-2008中有关整定压力、排放压力、启闭压差、开启高度和机械特性的有关规定。</w:t>
            </w: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排放压力</w:t>
            </w:r>
          </w:p>
        </w:tc>
        <w:tc>
          <w:tcPr>
            <w:tcW w:w="0" w:type="auto"/>
            <w:vMerge/>
            <w:tcBorders>
              <w:top w:val="nil"/>
              <w:left w:val="nil"/>
              <w:bottom w:val="single" w:sz="8" w:space="0" w:color="auto"/>
              <w:right w:val="single" w:sz="8" w:space="0" w:color="auto"/>
            </w:tcBorders>
            <w:vAlign w:val="center"/>
            <w:hideMark/>
          </w:tcPr>
          <w:p w:rsidR="008C28D8" w:rsidRPr="008C28D8" w:rsidRDefault="008C28D8" w:rsidP="008C28D8">
            <w:pPr>
              <w:widowControl/>
              <w:jc w:val="left"/>
              <w:rPr>
                <w:rFonts w:ascii="楷体" w:eastAsia="楷体" w:hAnsi="楷体" w:cs="宋体"/>
                <w:kern w:val="0"/>
                <w:sz w:val="24"/>
                <w:szCs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排放压力</w:t>
            </w:r>
          </w:p>
        </w:tc>
        <w:tc>
          <w:tcPr>
            <w:tcW w:w="0" w:type="auto"/>
            <w:vMerge/>
            <w:tcBorders>
              <w:top w:val="nil"/>
              <w:left w:val="nil"/>
              <w:bottom w:val="single" w:sz="8" w:space="0" w:color="auto"/>
              <w:right w:val="nil"/>
            </w:tcBorders>
            <w:vAlign w:val="center"/>
            <w:hideMark/>
          </w:tcPr>
          <w:p w:rsidR="008C28D8" w:rsidRPr="008C28D8" w:rsidRDefault="008C28D8" w:rsidP="008C28D8">
            <w:pPr>
              <w:widowControl/>
              <w:jc w:val="left"/>
              <w:rPr>
                <w:rFonts w:ascii="楷体" w:eastAsia="楷体" w:hAnsi="楷体" w:cs="宋体"/>
                <w:kern w:val="0"/>
                <w:sz w:val="24"/>
                <w:szCs w:val="24"/>
              </w:rPr>
            </w:pP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启闭压差</w:t>
            </w:r>
          </w:p>
        </w:tc>
        <w:tc>
          <w:tcPr>
            <w:tcW w:w="0" w:type="auto"/>
            <w:vMerge/>
            <w:tcBorders>
              <w:top w:val="nil"/>
              <w:left w:val="nil"/>
              <w:bottom w:val="single" w:sz="8" w:space="0" w:color="auto"/>
              <w:right w:val="single" w:sz="8" w:space="0" w:color="auto"/>
            </w:tcBorders>
            <w:vAlign w:val="center"/>
            <w:hideMark/>
          </w:tcPr>
          <w:p w:rsidR="008C28D8" w:rsidRPr="008C28D8" w:rsidRDefault="008C28D8" w:rsidP="008C28D8">
            <w:pPr>
              <w:widowControl/>
              <w:jc w:val="left"/>
              <w:rPr>
                <w:rFonts w:ascii="楷体" w:eastAsia="楷体" w:hAnsi="楷体" w:cs="宋体"/>
                <w:kern w:val="0"/>
                <w:sz w:val="24"/>
                <w:szCs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回</w:t>
            </w:r>
            <w:proofErr w:type="gramStart"/>
            <w:r w:rsidRPr="008C28D8">
              <w:rPr>
                <w:rFonts w:ascii="楷体" w:eastAsia="楷体" w:hAnsi="楷体" w:cs="宋体" w:hint="eastAsia"/>
                <w:kern w:val="0"/>
                <w:sz w:val="24"/>
                <w:szCs w:val="24"/>
              </w:rPr>
              <w:t>座压力</w:t>
            </w:r>
            <w:proofErr w:type="gramEnd"/>
          </w:p>
        </w:tc>
        <w:tc>
          <w:tcPr>
            <w:tcW w:w="0" w:type="auto"/>
            <w:vMerge/>
            <w:tcBorders>
              <w:top w:val="nil"/>
              <w:left w:val="nil"/>
              <w:bottom w:val="single" w:sz="8" w:space="0" w:color="auto"/>
              <w:right w:val="nil"/>
            </w:tcBorders>
            <w:vAlign w:val="center"/>
            <w:hideMark/>
          </w:tcPr>
          <w:p w:rsidR="008C28D8" w:rsidRPr="008C28D8" w:rsidRDefault="008C28D8" w:rsidP="008C28D8">
            <w:pPr>
              <w:widowControl/>
              <w:jc w:val="left"/>
              <w:rPr>
                <w:rFonts w:ascii="楷体" w:eastAsia="楷体" w:hAnsi="楷体" w:cs="宋体"/>
                <w:kern w:val="0"/>
                <w:sz w:val="24"/>
                <w:szCs w:val="24"/>
              </w:rPr>
            </w:pP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开启高度</w:t>
            </w:r>
          </w:p>
        </w:tc>
        <w:tc>
          <w:tcPr>
            <w:tcW w:w="0" w:type="auto"/>
            <w:vMerge/>
            <w:tcBorders>
              <w:top w:val="nil"/>
              <w:left w:val="nil"/>
              <w:bottom w:val="single" w:sz="8" w:space="0" w:color="auto"/>
              <w:right w:val="single" w:sz="8" w:space="0" w:color="auto"/>
            </w:tcBorders>
            <w:vAlign w:val="center"/>
            <w:hideMark/>
          </w:tcPr>
          <w:p w:rsidR="008C28D8" w:rsidRPr="008C28D8" w:rsidRDefault="008C28D8" w:rsidP="008C28D8">
            <w:pPr>
              <w:widowControl/>
              <w:jc w:val="left"/>
              <w:rPr>
                <w:rFonts w:ascii="楷体" w:eastAsia="楷体" w:hAnsi="楷体" w:cs="宋体"/>
                <w:kern w:val="0"/>
                <w:sz w:val="24"/>
                <w:szCs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开启高度</w:t>
            </w:r>
          </w:p>
        </w:tc>
        <w:tc>
          <w:tcPr>
            <w:tcW w:w="0" w:type="auto"/>
            <w:vMerge/>
            <w:tcBorders>
              <w:top w:val="nil"/>
              <w:left w:val="nil"/>
              <w:bottom w:val="single" w:sz="8" w:space="0" w:color="auto"/>
              <w:right w:val="nil"/>
            </w:tcBorders>
            <w:vAlign w:val="center"/>
            <w:hideMark/>
          </w:tcPr>
          <w:p w:rsidR="008C28D8" w:rsidRPr="008C28D8" w:rsidRDefault="008C28D8" w:rsidP="008C28D8">
            <w:pPr>
              <w:widowControl/>
              <w:jc w:val="left"/>
              <w:rPr>
                <w:rFonts w:ascii="楷体" w:eastAsia="楷体" w:hAnsi="楷体" w:cs="宋体"/>
                <w:kern w:val="0"/>
                <w:sz w:val="24"/>
                <w:szCs w:val="24"/>
              </w:rPr>
            </w:pPr>
          </w:p>
        </w:tc>
      </w:tr>
      <w:tr w:rsidR="008C28D8" w:rsidRPr="008C28D8" w:rsidTr="008C28D8">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机械特性</w:t>
            </w:r>
          </w:p>
        </w:tc>
        <w:tc>
          <w:tcPr>
            <w:tcW w:w="0" w:type="auto"/>
            <w:vMerge/>
            <w:tcBorders>
              <w:top w:val="nil"/>
              <w:left w:val="nil"/>
              <w:bottom w:val="single" w:sz="8" w:space="0" w:color="auto"/>
              <w:right w:val="single" w:sz="8" w:space="0" w:color="auto"/>
            </w:tcBorders>
            <w:vAlign w:val="center"/>
            <w:hideMark/>
          </w:tcPr>
          <w:p w:rsidR="008C28D8" w:rsidRPr="008C28D8" w:rsidRDefault="008C28D8" w:rsidP="008C28D8">
            <w:pPr>
              <w:widowControl/>
              <w:jc w:val="left"/>
              <w:rPr>
                <w:rFonts w:ascii="楷体" w:eastAsia="楷体" w:hAnsi="楷体" w:cs="宋体"/>
                <w:kern w:val="0"/>
                <w:sz w:val="24"/>
                <w:szCs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机械特性</w:t>
            </w:r>
          </w:p>
        </w:tc>
        <w:tc>
          <w:tcPr>
            <w:tcW w:w="0" w:type="auto"/>
            <w:vMerge/>
            <w:tcBorders>
              <w:top w:val="nil"/>
              <w:left w:val="nil"/>
              <w:bottom w:val="single" w:sz="8" w:space="0" w:color="auto"/>
              <w:right w:val="nil"/>
            </w:tcBorders>
            <w:vAlign w:val="center"/>
            <w:hideMark/>
          </w:tcPr>
          <w:p w:rsidR="008C28D8" w:rsidRPr="008C28D8" w:rsidRDefault="008C28D8" w:rsidP="008C28D8">
            <w:pPr>
              <w:widowControl/>
              <w:jc w:val="left"/>
              <w:rPr>
                <w:rFonts w:ascii="楷体" w:eastAsia="楷体" w:hAnsi="楷体" w:cs="宋体"/>
                <w:kern w:val="0"/>
                <w:sz w:val="24"/>
                <w:szCs w:val="24"/>
              </w:rPr>
            </w:pPr>
          </w:p>
        </w:tc>
      </w:tr>
      <w:tr w:rsidR="008C28D8" w:rsidRPr="008C28D8" w:rsidTr="008C28D8">
        <w:tc>
          <w:tcPr>
            <w:tcW w:w="106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b/>
                <w:bCs/>
                <w:kern w:val="0"/>
                <w:sz w:val="24"/>
                <w:szCs w:val="24"/>
              </w:rPr>
              <w:t>排量性能（注）</w:t>
            </w:r>
          </w:p>
        </w:tc>
        <w:tc>
          <w:tcPr>
            <w:tcW w:w="0" w:type="auto"/>
            <w:vMerge/>
            <w:tcBorders>
              <w:top w:val="nil"/>
              <w:left w:val="nil"/>
              <w:bottom w:val="single" w:sz="8" w:space="0" w:color="auto"/>
              <w:right w:val="single" w:sz="8" w:space="0" w:color="auto"/>
            </w:tcBorders>
            <w:vAlign w:val="center"/>
            <w:hideMark/>
          </w:tcPr>
          <w:p w:rsidR="008C28D8" w:rsidRPr="008C28D8" w:rsidRDefault="008C28D8" w:rsidP="008C28D8">
            <w:pPr>
              <w:widowControl/>
              <w:jc w:val="left"/>
              <w:rPr>
                <w:rFonts w:ascii="楷体" w:eastAsia="楷体" w:hAnsi="楷体" w:cs="宋体"/>
                <w:kern w:val="0"/>
                <w:sz w:val="24"/>
                <w:szCs w:val="24"/>
              </w:rPr>
            </w:pPr>
          </w:p>
        </w:tc>
        <w:tc>
          <w:tcPr>
            <w:tcW w:w="17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排量性能试验（排量系数测定）</w:t>
            </w:r>
          </w:p>
        </w:tc>
        <w:tc>
          <w:tcPr>
            <w:tcW w:w="4529" w:type="dxa"/>
            <w:tcBorders>
              <w:top w:val="nil"/>
              <w:left w:val="nil"/>
              <w:bottom w:val="single" w:sz="12"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安全阀的排量计算按GB/T 12241的规定，排量系数的测定值是否符合制造厂质量证书中的规定。</w:t>
            </w:r>
          </w:p>
        </w:tc>
      </w:tr>
    </w:tbl>
    <w:p w:rsidR="008C28D8" w:rsidRPr="008C28D8" w:rsidRDefault="008C28D8" w:rsidP="008C28D8">
      <w:pPr>
        <w:widowControl/>
        <w:wordWrap w:val="0"/>
        <w:spacing w:before="100" w:beforeAutospacing="1" w:after="100" w:afterAutospacing="1"/>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注：根据阀门的抽检情况，对样品的排量性能有怀疑的，方进行排量试验。</w:t>
      </w:r>
    </w:p>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4.2.2管板产品监督抽查检验项目</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管板按TSG G0001-2012《锅炉安全技术监察规程》、GB/T16508.1-8：2013《锅壳锅炉》与企业生产依据其他的国内、外标准确定抽查检验项目与判定规则。管板的抽查检验项目和判定规则如下表所示：</w:t>
      </w:r>
    </w:p>
    <w:p w:rsidR="008C28D8" w:rsidRPr="008C28D8" w:rsidRDefault="008C28D8" w:rsidP="008C28D8">
      <w:pPr>
        <w:widowControl/>
        <w:wordWrap w:val="0"/>
        <w:spacing w:before="100" w:beforeAutospacing="1" w:after="100" w:afterAutospacing="1" w:line="360" w:lineRule="auto"/>
        <w:jc w:val="center"/>
        <w:rPr>
          <w:rFonts w:ascii="楷体" w:eastAsia="楷体" w:hAnsi="楷体" w:cs="宋体" w:hint="eastAsia"/>
          <w:kern w:val="0"/>
          <w:sz w:val="24"/>
          <w:szCs w:val="24"/>
        </w:rPr>
      </w:pPr>
      <w:r w:rsidRPr="008C28D8">
        <w:rPr>
          <w:rFonts w:ascii="楷体" w:eastAsia="楷体" w:hAnsi="楷体" w:cs="宋体" w:hint="eastAsia"/>
          <w:b/>
          <w:bCs/>
          <w:kern w:val="0"/>
          <w:sz w:val="24"/>
          <w:szCs w:val="24"/>
        </w:rPr>
        <w:t>表2：管板检验项目和判定规则</w:t>
      </w:r>
    </w:p>
    <w:tbl>
      <w:tblPr>
        <w:tblW w:w="0" w:type="auto"/>
        <w:tblInd w:w="-252" w:type="dxa"/>
        <w:tblCellMar>
          <w:left w:w="0" w:type="dxa"/>
          <w:right w:w="0" w:type="dxa"/>
        </w:tblCellMar>
        <w:tblLook w:val="04A0"/>
      </w:tblPr>
      <w:tblGrid>
        <w:gridCol w:w="1018"/>
        <w:gridCol w:w="2379"/>
        <w:gridCol w:w="1418"/>
        <w:gridCol w:w="3959"/>
      </w:tblGrid>
      <w:tr w:rsidR="008C28D8" w:rsidRPr="008C28D8" w:rsidTr="008C28D8">
        <w:tc>
          <w:tcPr>
            <w:tcW w:w="103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检验项目</w:t>
            </w:r>
          </w:p>
        </w:tc>
        <w:tc>
          <w:tcPr>
            <w:tcW w:w="244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检验依据</w:t>
            </w:r>
          </w:p>
        </w:tc>
        <w:tc>
          <w:tcPr>
            <w:tcW w:w="144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检验内容</w:t>
            </w:r>
          </w:p>
        </w:tc>
        <w:tc>
          <w:tcPr>
            <w:tcW w:w="4077" w:type="dxa"/>
            <w:tcBorders>
              <w:top w:val="single" w:sz="12" w:space="0" w:color="auto"/>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判定规则</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外观</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焊缝外观</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封头（管板）的拼接焊缝</w:t>
            </w:r>
            <w:proofErr w:type="gramStart"/>
            <w:r w:rsidRPr="008C28D8">
              <w:rPr>
                <w:rFonts w:ascii="楷体" w:eastAsia="楷体" w:hAnsi="楷体" w:cs="宋体" w:hint="eastAsia"/>
                <w:kern w:val="0"/>
                <w:sz w:val="24"/>
                <w:szCs w:val="24"/>
              </w:rPr>
              <w:t>无咬边</w:t>
            </w:r>
            <w:proofErr w:type="gramEnd"/>
            <w:r w:rsidRPr="008C28D8">
              <w:rPr>
                <w:rFonts w:ascii="楷体" w:eastAsia="楷体" w:hAnsi="楷体" w:cs="宋体" w:hint="eastAsia"/>
                <w:kern w:val="0"/>
                <w:sz w:val="24"/>
                <w:szCs w:val="24"/>
              </w:rPr>
              <w:t>；直边部分不应存在纵向褶皱。</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几何尺寸</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G0001-2012、GB/T16508.1-8：2013、企业生产依据的标准、企业设计图纸</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企业设计图纸中标注的尺寸</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符合企业设计图纸及相关安全技术规范、标准的规定</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lastRenderedPageBreak/>
              <w:t>化学成分分析</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材料标准</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化学成分</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应符合相应牌号的材料标准要求。</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力学性能试验</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材料标准</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抗拉强度、屈服强度、伸长率等</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应符合相应牌号的材料标准要求。</w:t>
            </w:r>
          </w:p>
        </w:tc>
      </w:tr>
      <w:tr w:rsidR="008C28D8" w:rsidRPr="008C28D8" w:rsidTr="008C28D8">
        <w:tc>
          <w:tcPr>
            <w:tcW w:w="103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宏观金相</w:t>
            </w:r>
          </w:p>
        </w:tc>
        <w:tc>
          <w:tcPr>
            <w:tcW w:w="244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w:t>
            </w:r>
          </w:p>
        </w:tc>
        <w:tc>
          <w:tcPr>
            <w:tcW w:w="144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焊缝宏观金相</w:t>
            </w:r>
          </w:p>
        </w:tc>
        <w:tc>
          <w:tcPr>
            <w:tcW w:w="4077" w:type="dxa"/>
            <w:tcBorders>
              <w:top w:val="nil"/>
              <w:left w:val="nil"/>
              <w:bottom w:val="single" w:sz="12"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30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管板的拼接焊缝应当采用全焊透的对接接头；T形接头连接部位的焊缝厚度不小于管板的壁厚；管板与人孔圈、手孔圈的连接应当采用全焊透结构。</w:t>
            </w:r>
          </w:p>
        </w:tc>
      </w:tr>
    </w:tbl>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4.2.3封</w:t>
      </w:r>
      <w:proofErr w:type="gramStart"/>
      <w:r w:rsidRPr="008C28D8">
        <w:rPr>
          <w:rFonts w:ascii="楷体" w:eastAsia="楷体" w:hAnsi="楷体" w:cs="宋体" w:hint="eastAsia"/>
          <w:b/>
          <w:bCs/>
          <w:kern w:val="0"/>
          <w:sz w:val="24"/>
          <w:szCs w:val="24"/>
        </w:rPr>
        <w:t>头产品</w:t>
      </w:r>
      <w:proofErr w:type="gramEnd"/>
      <w:r w:rsidRPr="008C28D8">
        <w:rPr>
          <w:rFonts w:ascii="楷体" w:eastAsia="楷体" w:hAnsi="楷体" w:cs="宋体" w:hint="eastAsia"/>
          <w:b/>
          <w:bCs/>
          <w:kern w:val="0"/>
          <w:sz w:val="24"/>
          <w:szCs w:val="24"/>
        </w:rPr>
        <w:t>监督抽查检验项目</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封头按TSG G0001-2012《锅炉安全技术监察规程》、GB/T16508.1-8：2013《锅壳锅炉》、GB/T25198-2010《压力容器封头》与企业生产依据其他的国内、外标准确定抽查检验项目与判定规则。封头的抽查检验项目和判定规则如下表所示：</w:t>
      </w:r>
    </w:p>
    <w:p w:rsidR="008C28D8" w:rsidRPr="008C28D8" w:rsidRDefault="008C28D8" w:rsidP="008C28D8">
      <w:pPr>
        <w:widowControl/>
        <w:wordWrap w:val="0"/>
        <w:spacing w:before="100" w:beforeAutospacing="1" w:after="100" w:afterAutospacing="1" w:line="360" w:lineRule="auto"/>
        <w:jc w:val="center"/>
        <w:rPr>
          <w:rFonts w:ascii="楷体" w:eastAsia="楷体" w:hAnsi="楷体" w:cs="宋体" w:hint="eastAsia"/>
          <w:kern w:val="0"/>
          <w:sz w:val="24"/>
          <w:szCs w:val="24"/>
        </w:rPr>
      </w:pPr>
      <w:r w:rsidRPr="008C28D8">
        <w:rPr>
          <w:rFonts w:ascii="楷体" w:eastAsia="楷体" w:hAnsi="楷体" w:cs="宋体" w:hint="eastAsia"/>
          <w:b/>
          <w:bCs/>
          <w:kern w:val="0"/>
          <w:sz w:val="24"/>
          <w:szCs w:val="24"/>
        </w:rPr>
        <w:t>表3：封头检验项目和判定规则</w:t>
      </w:r>
    </w:p>
    <w:tbl>
      <w:tblPr>
        <w:tblW w:w="0" w:type="auto"/>
        <w:tblInd w:w="-252" w:type="dxa"/>
        <w:tblCellMar>
          <w:left w:w="0" w:type="dxa"/>
          <w:right w:w="0" w:type="dxa"/>
        </w:tblCellMar>
        <w:tblLook w:val="04A0"/>
      </w:tblPr>
      <w:tblGrid>
        <w:gridCol w:w="1018"/>
        <w:gridCol w:w="2379"/>
        <w:gridCol w:w="1418"/>
        <w:gridCol w:w="3959"/>
      </w:tblGrid>
      <w:tr w:rsidR="008C28D8" w:rsidRPr="008C28D8" w:rsidTr="008C28D8">
        <w:tc>
          <w:tcPr>
            <w:tcW w:w="103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检验项目</w:t>
            </w:r>
          </w:p>
        </w:tc>
        <w:tc>
          <w:tcPr>
            <w:tcW w:w="244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检验依据</w:t>
            </w:r>
          </w:p>
        </w:tc>
        <w:tc>
          <w:tcPr>
            <w:tcW w:w="144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检验内容</w:t>
            </w:r>
          </w:p>
        </w:tc>
        <w:tc>
          <w:tcPr>
            <w:tcW w:w="4077" w:type="dxa"/>
            <w:tcBorders>
              <w:top w:val="single" w:sz="12" w:space="0" w:color="auto"/>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判定规则</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外观</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G0001-2012、GB/T16508.1-8：2013、GB/T25198-2010</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焊缝外观</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封头（管板）的拼接焊缝</w:t>
            </w:r>
            <w:proofErr w:type="gramStart"/>
            <w:r w:rsidRPr="008C28D8">
              <w:rPr>
                <w:rFonts w:ascii="楷体" w:eastAsia="楷体" w:hAnsi="楷体" w:cs="宋体" w:hint="eastAsia"/>
                <w:kern w:val="0"/>
                <w:sz w:val="24"/>
                <w:szCs w:val="24"/>
              </w:rPr>
              <w:t>无咬边</w:t>
            </w:r>
            <w:proofErr w:type="gramEnd"/>
            <w:r w:rsidRPr="008C28D8">
              <w:rPr>
                <w:rFonts w:ascii="楷体" w:eastAsia="楷体" w:hAnsi="楷体" w:cs="宋体" w:hint="eastAsia"/>
                <w:kern w:val="0"/>
                <w:sz w:val="24"/>
                <w:szCs w:val="24"/>
              </w:rPr>
              <w:t>；直边部分不应存在纵向褶皱。</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几何尺寸</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G0001-2012、GB/T16508.1-8：2013、GB/T25198-2010、企业生产依据的标准、企业设计图纸</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企业设计图纸中标注的尺寸</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符合企业设计图纸及相关安全技术规范、标准的规定</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化学成分分析</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材料标准</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化学成分</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应符合相应牌号的材料标准要求。</w:t>
            </w:r>
          </w:p>
        </w:tc>
      </w:tr>
      <w:tr w:rsidR="008C28D8" w:rsidRPr="008C28D8" w:rsidTr="008C28D8">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力学性能试验</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材料标准</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抗拉强度、屈服强度、伸长率等</w:t>
            </w:r>
          </w:p>
        </w:tc>
        <w:tc>
          <w:tcPr>
            <w:tcW w:w="40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应符合相应牌号的材料标准要求。</w:t>
            </w:r>
          </w:p>
        </w:tc>
      </w:tr>
      <w:tr w:rsidR="008C28D8" w:rsidRPr="008C28D8" w:rsidTr="008C28D8">
        <w:tc>
          <w:tcPr>
            <w:tcW w:w="103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b/>
                <w:bCs/>
                <w:kern w:val="0"/>
                <w:sz w:val="24"/>
                <w:szCs w:val="24"/>
              </w:rPr>
              <w:t>宏观金相</w:t>
            </w:r>
          </w:p>
        </w:tc>
        <w:tc>
          <w:tcPr>
            <w:tcW w:w="244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TSG G0001-2012、GB/T16508.1-8：2013、GB/T25198-2010</w:t>
            </w:r>
          </w:p>
        </w:tc>
        <w:tc>
          <w:tcPr>
            <w:tcW w:w="144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center"/>
              <w:rPr>
                <w:rFonts w:ascii="楷体" w:eastAsia="楷体" w:hAnsi="楷体" w:cs="宋体"/>
                <w:kern w:val="0"/>
                <w:sz w:val="24"/>
                <w:szCs w:val="24"/>
              </w:rPr>
            </w:pPr>
            <w:r w:rsidRPr="008C28D8">
              <w:rPr>
                <w:rFonts w:ascii="楷体" w:eastAsia="楷体" w:hAnsi="楷体" w:cs="宋体" w:hint="eastAsia"/>
                <w:kern w:val="0"/>
                <w:sz w:val="24"/>
                <w:szCs w:val="24"/>
              </w:rPr>
              <w:t>焊缝宏观金相</w:t>
            </w:r>
          </w:p>
        </w:tc>
        <w:tc>
          <w:tcPr>
            <w:tcW w:w="4077" w:type="dxa"/>
            <w:tcBorders>
              <w:top w:val="nil"/>
              <w:left w:val="nil"/>
              <w:bottom w:val="single" w:sz="12" w:space="0" w:color="auto"/>
              <w:right w:val="nil"/>
            </w:tcBorders>
            <w:shd w:val="clear" w:color="auto" w:fill="auto"/>
            <w:tcMar>
              <w:top w:w="0" w:type="dxa"/>
              <w:left w:w="108" w:type="dxa"/>
              <w:bottom w:w="0" w:type="dxa"/>
              <w:right w:w="108" w:type="dxa"/>
            </w:tcMar>
            <w:vAlign w:val="center"/>
            <w:hideMark/>
          </w:tcPr>
          <w:p w:rsidR="008C28D8" w:rsidRPr="008C28D8" w:rsidRDefault="008C28D8" w:rsidP="008C28D8">
            <w:pPr>
              <w:widowControl/>
              <w:wordWrap w:val="0"/>
              <w:spacing w:before="100" w:beforeAutospacing="1" w:after="100" w:afterAutospacing="1" w:line="280" w:lineRule="atLeast"/>
              <w:jc w:val="left"/>
              <w:rPr>
                <w:rFonts w:ascii="楷体" w:eastAsia="楷体" w:hAnsi="楷体" w:cs="宋体"/>
                <w:kern w:val="0"/>
                <w:sz w:val="24"/>
                <w:szCs w:val="24"/>
              </w:rPr>
            </w:pPr>
            <w:r w:rsidRPr="008C28D8">
              <w:rPr>
                <w:rFonts w:ascii="楷体" w:eastAsia="楷体" w:hAnsi="楷体" w:cs="宋体" w:hint="eastAsia"/>
                <w:kern w:val="0"/>
                <w:sz w:val="24"/>
                <w:szCs w:val="24"/>
              </w:rPr>
              <w:t>封头的拼接焊缝应当采用全焊透的对接接头；封头与人孔圈、手孔圈的连接应当采用全焊透结构；封头（管板）的拼接焊缝</w:t>
            </w:r>
            <w:proofErr w:type="gramStart"/>
            <w:r w:rsidRPr="008C28D8">
              <w:rPr>
                <w:rFonts w:ascii="楷体" w:eastAsia="楷体" w:hAnsi="楷体" w:cs="宋体" w:hint="eastAsia"/>
                <w:kern w:val="0"/>
                <w:sz w:val="24"/>
                <w:szCs w:val="24"/>
              </w:rPr>
              <w:t>无咬边</w:t>
            </w:r>
            <w:proofErr w:type="gramEnd"/>
          </w:p>
        </w:tc>
      </w:tr>
    </w:tbl>
    <w:p w:rsidR="008C28D8" w:rsidRPr="008C28D8" w:rsidRDefault="008C28D8" w:rsidP="008C28D8">
      <w:pPr>
        <w:widowControl/>
        <w:wordWrap w:val="0"/>
        <w:spacing w:before="100" w:beforeAutospacing="1" w:after="100" w:afterAutospacing="1"/>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4.3判定原则</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产品质量合格：若所有检验项目全部满足相关的标准要求，则判抽检的该批次产品质量合格。</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lastRenderedPageBreak/>
        <w:t>产品质量不合格：若抽检的产品存在一项或一项以上检验项目不符合相关标准要求，则判抽检的该批次产品质量不合格。</w:t>
      </w:r>
    </w:p>
    <w:p w:rsidR="008C28D8" w:rsidRPr="008C28D8" w:rsidRDefault="008C28D8" w:rsidP="008C28D8">
      <w:pPr>
        <w:widowControl/>
        <w:wordWrap w:val="0"/>
        <w:spacing w:before="305"/>
        <w:ind w:firstLine="633"/>
        <w:jc w:val="left"/>
        <w:rPr>
          <w:rFonts w:ascii="楷体" w:eastAsia="楷体" w:hAnsi="楷体" w:cs="宋体" w:hint="eastAsia"/>
          <w:kern w:val="0"/>
          <w:sz w:val="24"/>
          <w:szCs w:val="24"/>
        </w:rPr>
      </w:pPr>
      <w:r w:rsidRPr="008C28D8">
        <w:rPr>
          <w:rFonts w:ascii="楷体" w:eastAsia="楷体" w:hAnsi="楷体" w:cs="宋体" w:hint="eastAsia"/>
          <w:b/>
          <w:bCs/>
          <w:kern w:val="0"/>
          <w:sz w:val="24"/>
          <w:szCs w:val="24"/>
        </w:rPr>
        <w:t>5.异议处理</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对判定不合格产品进行复检时，按以下方式进行：</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5.1</w:t>
      </w:r>
      <w:r w:rsidRPr="008C28D8">
        <w:rPr>
          <w:rFonts w:ascii="宋体" w:eastAsia="宋体" w:hAnsi="宋体" w:cs="宋体" w:hint="eastAsia"/>
          <w:kern w:val="0"/>
          <w:sz w:val="24"/>
          <w:szCs w:val="24"/>
        </w:rPr>
        <w:t> </w:t>
      </w:r>
      <w:r w:rsidRPr="008C28D8">
        <w:rPr>
          <w:rFonts w:ascii="楷体" w:eastAsia="楷体" w:hAnsi="楷体" w:cs="宋体" w:hint="eastAsia"/>
          <w:kern w:val="0"/>
          <w:sz w:val="24"/>
          <w:szCs w:val="24"/>
        </w:rPr>
        <w:t>核查不合格项目相关证据，能够以记录（纸质记录、电子记录或影像记录）、检验后缺陷特征样品、与不合格质量数据相关联的其他质量数据等检验证据证明，并得到申请复检者认可的，做出维持原检验结论的复检结论。</w:t>
      </w:r>
    </w:p>
    <w:p w:rsidR="008C28D8" w:rsidRPr="008C28D8" w:rsidRDefault="008C28D8" w:rsidP="008C28D8">
      <w:pPr>
        <w:widowControl/>
        <w:wordWrap w:val="0"/>
        <w:spacing w:before="100" w:beforeAutospacing="1" w:after="100" w:afterAutospacing="1"/>
        <w:ind w:firstLine="630"/>
        <w:jc w:val="left"/>
        <w:rPr>
          <w:rFonts w:ascii="楷体" w:eastAsia="楷体" w:hAnsi="楷体" w:cs="宋体" w:hint="eastAsia"/>
          <w:kern w:val="0"/>
          <w:sz w:val="24"/>
          <w:szCs w:val="24"/>
        </w:rPr>
      </w:pPr>
      <w:r w:rsidRPr="008C28D8">
        <w:rPr>
          <w:rFonts w:ascii="楷体" w:eastAsia="楷体" w:hAnsi="楷体" w:cs="宋体" w:hint="eastAsia"/>
          <w:kern w:val="0"/>
          <w:sz w:val="24"/>
          <w:szCs w:val="24"/>
        </w:rPr>
        <w:t>5.2</w:t>
      </w:r>
      <w:r w:rsidRPr="008C28D8">
        <w:rPr>
          <w:rFonts w:ascii="宋体" w:eastAsia="宋体" w:hAnsi="宋体" w:cs="宋体" w:hint="eastAsia"/>
          <w:kern w:val="0"/>
          <w:sz w:val="24"/>
          <w:szCs w:val="24"/>
        </w:rPr>
        <w:t> </w:t>
      </w:r>
      <w:r w:rsidRPr="008C28D8">
        <w:rPr>
          <w:rFonts w:ascii="楷体" w:eastAsia="楷体" w:hAnsi="楷体" w:cs="宋体" w:hint="eastAsia"/>
          <w:kern w:val="0"/>
          <w:sz w:val="24"/>
          <w:szCs w:val="24"/>
        </w:rPr>
        <w:t>需对不合格项目复检时，可以在原样上进行的，应采用原样检验。不可以在原样上进行的，可</w:t>
      </w:r>
      <w:proofErr w:type="gramStart"/>
      <w:r w:rsidRPr="008C28D8">
        <w:rPr>
          <w:rFonts w:ascii="楷体" w:eastAsia="楷体" w:hAnsi="楷体" w:cs="宋体" w:hint="eastAsia"/>
          <w:kern w:val="0"/>
          <w:sz w:val="24"/>
          <w:szCs w:val="24"/>
        </w:rPr>
        <w:t>采用备样检验</w:t>
      </w:r>
      <w:proofErr w:type="gramEnd"/>
      <w:r w:rsidRPr="008C28D8">
        <w:rPr>
          <w:rFonts w:ascii="楷体" w:eastAsia="楷体" w:hAnsi="楷体" w:cs="宋体" w:hint="eastAsia"/>
          <w:kern w:val="0"/>
          <w:sz w:val="24"/>
          <w:szCs w:val="24"/>
        </w:rPr>
        <w:t>。当复检结果仍不合格，维持原检验结果不变。当复检结果合格，以复检结果为准。复检结论为最终结论。</w:t>
      </w:r>
    </w:p>
    <w:p w:rsidR="008C28D8" w:rsidRPr="008C28D8" w:rsidRDefault="008C28D8" w:rsidP="008C28D8"/>
    <w:sectPr w:rsidR="008C28D8" w:rsidRPr="008C28D8" w:rsidSect="00C376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8D8"/>
    <w:rsid w:val="008C28D8"/>
    <w:rsid w:val="00C37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8D8"/>
    <w:rPr>
      <w:color w:val="0000FF"/>
      <w:u w:val="single"/>
    </w:rPr>
  </w:style>
</w:styles>
</file>

<file path=word/webSettings.xml><?xml version="1.0" encoding="utf-8"?>
<w:webSettings xmlns:r="http://schemas.openxmlformats.org/officeDocument/2006/relationships" xmlns:w="http://schemas.openxmlformats.org/wordprocessingml/2006/main">
  <w:divs>
    <w:div w:id="21323449">
      <w:bodyDiv w:val="1"/>
      <w:marLeft w:val="0"/>
      <w:marRight w:val="0"/>
      <w:marTop w:val="0"/>
      <w:marBottom w:val="0"/>
      <w:divBdr>
        <w:top w:val="none" w:sz="0" w:space="0" w:color="auto"/>
        <w:left w:val="none" w:sz="0" w:space="0" w:color="auto"/>
        <w:bottom w:val="none" w:sz="0" w:space="0" w:color="auto"/>
        <w:right w:val="none" w:sz="0" w:space="0" w:color="auto"/>
      </w:divBdr>
      <w:divsChild>
        <w:div w:id="1875266939">
          <w:marLeft w:val="0"/>
          <w:marRight w:val="0"/>
          <w:marTop w:val="0"/>
          <w:marBottom w:val="0"/>
          <w:divBdr>
            <w:top w:val="none" w:sz="0" w:space="0" w:color="auto"/>
            <w:left w:val="none" w:sz="0" w:space="0" w:color="auto"/>
            <w:bottom w:val="none" w:sz="0" w:space="0" w:color="auto"/>
            <w:right w:val="none" w:sz="0" w:space="0" w:color="auto"/>
          </w:divBdr>
          <w:divsChild>
            <w:div w:id="824709151">
              <w:marLeft w:val="0"/>
              <w:marRight w:val="0"/>
              <w:marTop w:val="0"/>
              <w:marBottom w:val="0"/>
              <w:divBdr>
                <w:top w:val="none" w:sz="0" w:space="0" w:color="auto"/>
                <w:left w:val="none" w:sz="0" w:space="0" w:color="auto"/>
                <w:bottom w:val="none" w:sz="0" w:space="0" w:color="auto"/>
                <w:right w:val="none" w:sz="0" w:space="0" w:color="auto"/>
              </w:divBdr>
              <w:divsChild>
                <w:div w:id="77558817">
                  <w:marLeft w:val="0"/>
                  <w:marRight w:val="0"/>
                  <w:marTop w:val="0"/>
                  <w:marBottom w:val="0"/>
                  <w:divBdr>
                    <w:top w:val="none" w:sz="0" w:space="0" w:color="auto"/>
                    <w:left w:val="none" w:sz="0" w:space="0" w:color="auto"/>
                    <w:bottom w:val="none" w:sz="0" w:space="0" w:color="auto"/>
                    <w:right w:val="none" w:sz="0" w:space="0" w:color="auto"/>
                  </w:divBdr>
                  <w:divsChild>
                    <w:div w:id="234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37098">
      <w:bodyDiv w:val="1"/>
      <w:marLeft w:val="0"/>
      <w:marRight w:val="0"/>
      <w:marTop w:val="0"/>
      <w:marBottom w:val="0"/>
      <w:divBdr>
        <w:top w:val="none" w:sz="0" w:space="0" w:color="auto"/>
        <w:left w:val="none" w:sz="0" w:space="0" w:color="auto"/>
        <w:bottom w:val="none" w:sz="0" w:space="0" w:color="auto"/>
        <w:right w:val="none" w:sz="0" w:space="0" w:color="auto"/>
      </w:divBdr>
      <w:divsChild>
        <w:div w:id="1514689383">
          <w:marLeft w:val="0"/>
          <w:marRight w:val="0"/>
          <w:marTop w:val="0"/>
          <w:marBottom w:val="0"/>
          <w:divBdr>
            <w:top w:val="none" w:sz="0" w:space="0" w:color="auto"/>
            <w:left w:val="none" w:sz="0" w:space="0" w:color="auto"/>
            <w:bottom w:val="none" w:sz="0" w:space="0" w:color="auto"/>
            <w:right w:val="none" w:sz="0" w:space="0" w:color="auto"/>
          </w:divBdr>
          <w:divsChild>
            <w:div w:id="276063568">
              <w:marLeft w:val="0"/>
              <w:marRight w:val="0"/>
              <w:marTop w:val="0"/>
              <w:marBottom w:val="0"/>
              <w:divBdr>
                <w:top w:val="none" w:sz="0" w:space="0" w:color="auto"/>
                <w:left w:val="none" w:sz="0" w:space="0" w:color="auto"/>
                <w:bottom w:val="none" w:sz="0" w:space="0" w:color="auto"/>
                <w:right w:val="none" w:sz="0" w:space="0" w:color="auto"/>
              </w:divBdr>
              <w:divsChild>
                <w:div w:id="1194810652">
                  <w:marLeft w:val="0"/>
                  <w:marRight w:val="0"/>
                  <w:marTop w:val="0"/>
                  <w:marBottom w:val="0"/>
                  <w:divBdr>
                    <w:top w:val="none" w:sz="0" w:space="0" w:color="auto"/>
                    <w:left w:val="none" w:sz="0" w:space="0" w:color="auto"/>
                    <w:bottom w:val="none" w:sz="0" w:space="0" w:color="auto"/>
                    <w:right w:val="none" w:sz="0" w:space="0" w:color="auto"/>
                  </w:divBdr>
                  <w:divsChild>
                    <w:div w:id="15429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ndard.sist.org.cn/StdSearch/stdDetail.aspx?AppID=GB/T%204336-2016&amp;v=GB/T%204336%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2017-08-29T01:49:00Z</dcterms:created>
  <dcterms:modified xsi:type="dcterms:W3CDTF">2017-08-29T01:50:00Z</dcterms:modified>
</cp:coreProperties>
</file>