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46" w:rsidRDefault="00065E46" w:rsidP="00065E46">
      <w:pPr>
        <w:widowControl/>
        <w:spacing w:line="600" w:lineRule="exact"/>
        <w:jc w:val="left"/>
        <w:rPr>
          <w:rFonts w:ascii="黑体" w:eastAsia="黑体" w:hAnsi="黑体" w:cs="黑体" w:hint="eastAsia"/>
          <w:szCs w:val="32"/>
        </w:rPr>
      </w:pPr>
      <w:r>
        <w:rPr>
          <w:rFonts w:ascii="黑体" w:eastAsia="黑体" w:hAnsi="黑体" w:cs="黑体" w:hint="eastAsia"/>
          <w:szCs w:val="32"/>
        </w:rPr>
        <w:t>附件</w:t>
      </w:r>
    </w:p>
    <w:p w:rsidR="00065E46" w:rsidRDefault="00065E46" w:rsidP="00065E46">
      <w:pPr>
        <w:spacing w:line="600" w:lineRule="exact"/>
        <w:jc w:val="left"/>
        <w:rPr>
          <w:rFonts w:ascii="仿宋_GB2312"/>
          <w:szCs w:val="32"/>
        </w:rPr>
      </w:pPr>
    </w:p>
    <w:p w:rsidR="00065E46" w:rsidRDefault="00065E46" w:rsidP="00065E46">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广东省市场监督管理局关于复工复产单位</w:t>
      </w:r>
    </w:p>
    <w:p w:rsidR="00065E46" w:rsidRDefault="00065E46" w:rsidP="00065E46">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做好特种设备安全工作告知书</w:t>
      </w:r>
    </w:p>
    <w:p w:rsidR="00065E46" w:rsidRDefault="00065E46" w:rsidP="00065E46">
      <w:pPr>
        <w:spacing w:line="600" w:lineRule="exact"/>
        <w:rPr>
          <w:rFonts w:ascii="仿宋_GB2312"/>
          <w:szCs w:val="32"/>
        </w:rPr>
      </w:pPr>
    </w:p>
    <w:p w:rsidR="00065E46" w:rsidRDefault="00065E46" w:rsidP="00065E46">
      <w:pPr>
        <w:spacing w:line="600" w:lineRule="exact"/>
        <w:rPr>
          <w:rFonts w:ascii="仿宋_GB2312"/>
          <w:szCs w:val="32"/>
        </w:rPr>
      </w:pPr>
      <w:r>
        <w:rPr>
          <w:rFonts w:ascii="仿宋_GB2312" w:hint="eastAsia"/>
          <w:szCs w:val="32"/>
        </w:rPr>
        <w:t>各特种设备生产、经营、使用（气瓶、移动式压力容器充装）单位：</w:t>
      </w:r>
    </w:p>
    <w:p w:rsidR="00065E46" w:rsidRDefault="00065E46" w:rsidP="00065E46">
      <w:pPr>
        <w:spacing w:line="600" w:lineRule="exact"/>
        <w:ind w:firstLineChars="200" w:firstLine="640"/>
        <w:rPr>
          <w:rFonts w:ascii="仿宋_GB2312"/>
          <w:szCs w:val="32"/>
        </w:rPr>
      </w:pPr>
      <w:r>
        <w:rPr>
          <w:rFonts w:ascii="仿宋_GB2312" w:hint="eastAsia"/>
          <w:szCs w:val="32"/>
        </w:rPr>
        <w:t>为确保特种设备安全，保障各单位的利益，营造和谐稳定的经济社会发展环境，广东省市场监督管理局提醒各单位企业负责人要组织研究本单位节后复工复产特种设备安全工作，制定可行的方案，做好开工前的各项检验检查，监督特种设备从业人员规范操作，并重点抓好以下工作。</w:t>
      </w:r>
    </w:p>
    <w:p w:rsidR="00065E46" w:rsidRDefault="00065E46" w:rsidP="00065E46">
      <w:pPr>
        <w:spacing w:line="600" w:lineRule="exact"/>
        <w:ind w:firstLineChars="200" w:firstLine="640"/>
        <w:rPr>
          <w:rFonts w:ascii="黑体" w:eastAsia="黑体" w:hAnsi="黑体"/>
          <w:szCs w:val="32"/>
        </w:rPr>
      </w:pPr>
      <w:r>
        <w:rPr>
          <w:rFonts w:ascii="黑体" w:eastAsia="黑体" w:hAnsi="黑体" w:hint="eastAsia"/>
          <w:szCs w:val="32"/>
        </w:rPr>
        <w:t>一、开展特种设备安全教育培训</w:t>
      </w:r>
    </w:p>
    <w:p w:rsidR="00065E46" w:rsidRDefault="00065E46" w:rsidP="00065E46">
      <w:pPr>
        <w:pStyle w:val="1"/>
        <w:numPr>
          <w:ilvl w:val="0"/>
          <w:numId w:val="1"/>
        </w:numPr>
        <w:spacing w:line="600" w:lineRule="exact"/>
        <w:ind w:left="0" w:firstLine="640"/>
        <w:rPr>
          <w:rFonts w:ascii="仿宋_GB2312"/>
          <w:sz w:val="32"/>
          <w:szCs w:val="32"/>
        </w:rPr>
      </w:pPr>
      <w:r>
        <w:rPr>
          <w:rFonts w:ascii="仿宋_GB2312" w:hint="eastAsia"/>
          <w:sz w:val="32"/>
          <w:szCs w:val="32"/>
        </w:rPr>
        <w:t>对特种设备操作岗位的新进员工和调换新岗位员工严格开展“三级”特种设备安全教育培训（即</w:t>
      </w:r>
      <w:r>
        <w:rPr>
          <w:rFonts w:ascii="仿宋_GB2312"/>
          <w:sz w:val="32"/>
          <w:szCs w:val="32"/>
        </w:rPr>
        <w:t>入厂教育、车间教育和班组教育</w:t>
      </w:r>
      <w:r>
        <w:rPr>
          <w:rFonts w:ascii="仿宋_GB2312" w:hint="eastAsia"/>
          <w:sz w:val="32"/>
          <w:szCs w:val="32"/>
        </w:rPr>
        <w:t>）。</w:t>
      </w:r>
    </w:p>
    <w:p w:rsidR="00065E46" w:rsidRDefault="00065E46" w:rsidP="00065E46">
      <w:pPr>
        <w:pStyle w:val="1"/>
        <w:numPr>
          <w:ilvl w:val="0"/>
          <w:numId w:val="1"/>
        </w:numPr>
        <w:spacing w:line="600" w:lineRule="exact"/>
        <w:ind w:left="0" w:firstLine="640"/>
        <w:rPr>
          <w:rFonts w:ascii="仿宋_GB2312"/>
          <w:sz w:val="32"/>
          <w:szCs w:val="32"/>
        </w:rPr>
      </w:pPr>
      <w:r>
        <w:rPr>
          <w:rFonts w:ascii="仿宋_GB2312" w:hint="eastAsia"/>
          <w:sz w:val="32"/>
          <w:szCs w:val="32"/>
        </w:rPr>
        <w:t>对特种设备安全管理人员和操作人员进行有针对性的岗前再教育，对节后返回原岗位的其他员工进行安全知识再教育再培训再演练。</w:t>
      </w:r>
    </w:p>
    <w:p w:rsidR="00065E46" w:rsidRDefault="00065E46" w:rsidP="00065E46">
      <w:pPr>
        <w:pStyle w:val="1"/>
        <w:numPr>
          <w:ilvl w:val="0"/>
          <w:numId w:val="1"/>
        </w:numPr>
        <w:spacing w:line="600" w:lineRule="exact"/>
        <w:ind w:left="0" w:firstLine="640"/>
        <w:rPr>
          <w:rFonts w:ascii="仿宋_GB2312"/>
          <w:sz w:val="32"/>
          <w:szCs w:val="32"/>
        </w:rPr>
      </w:pPr>
      <w:r>
        <w:rPr>
          <w:rFonts w:ascii="仿宋_GB2312" w:hint="eastAsia"/>
          <w:sz w:val="32"/>
          <w:szCs w:val="32"/>
        </w:rPr>
        <w:t>保证员工具备必要的特种设备安全知识，熟悉有关的安全规章制度和安全操作规程，掌握本岗位的安全操作技能，了解事故应急处置措施。</w:t>
      </w:r>
    </w:p>
    <w:p w:rsidR="00065E46" w:rsidRDefault="00065E46" w:rsidP="00065E46">
      <w:pPr>
        <w:spacing w:line="600" w:lineRule="exact"/>
        <w:ind w:firstLineChars="200" w:firstLine="640"/>
        <w:rPr>
          <w:rFonts w:ascii="黑体" w:eastAsia="黑体" w:hAnsi="黑体"/>
          <w:szCs w:val="32"/>
        </w:rPr>
      </w:pPr>
      <w:r>
        <w:rPr>
          <w:rFonts w:ascii="黑体" w:eastAsia="黑体" w:hAnsi="黑体" w:hint="eastAsia"/>
          <w:szCs w:val="32"/>
        </w:rPr>
        <w:t>二、开展隐患自查自纠</w:t>
      </w:r>
    </w:p>
    <w:p w:rsidR="00065E46" w:rsidRDefault="00065E46" w:rsidP="00065E46">
      <w:pPr>
        <w:pStyle w:val="1"/>
        <w:numPr>
          <w:ilvl w:val="0"/>
          <w:numId w:val="1"/>
        </w:numPr>
        <w:spacing w:line="600" w:lineRule="exact"/>
        <w:ind w:left="0" w:firstLine="640"/>
        <w:rPr>
          <w:rFonts w:ascii="仿宋_GB2312"/>
          <w:sz w:val="32"/>
          <w:szCs w:val="32"/>
        </w:rPr>
      </w:pPr>
      <w:r>
        <w:rPr>
          <w:rFonts w:ascii="仿宋_GB2312" w:hint="eastAsia"/>
          <w:sz w:val="32"/>
          <w:szCs w:val="32"/>
        </w:rPr>
        <w:lastRenderedPageBreak/>
        <w:t>对特种设备进行全面的检查、检修、检测，确保设备能够正常、安全运行。</w:t>
      </w:r>
    </w:p>
    <w:p w:rsidR="00065E46" w:rsidRDefault="00065E46" w:rsidP="00065E46">
      <w:pPr>
        <w:pStyle w:val="1"/>
        <w:numPr>
          <w:ilvl w:val="0"/>
          <w:numId w:val="1"/>
        </w:numPr>
        <w:spacing w:line="600" w:lineRule="exact"/>
        <w:ind w:left="0" w:firstLine="640"/>
        <w:rPr>
          <w:rFonts w:ascii="仿宋_GB2312"/>
          <w:sz w:val="32"/>
          <w:szCs w:val="32"/>
        </w:rPr>
      </w:pPr>
      <w:r>
        <w:rPr>
          <w:rFonts w:ascii="仿宋_GB2312" w:hint="eastAsia"/>
          <w:sz w:val="32"/>
          <w:szCs w:val="32"/>
        </w:rPr>
        <w:t>对安全附件和保护装置、阀门仪表、报警装置、应急救援设施等进行全面检查和调试，确保设备设施完好、可靠。</w:t>
      </w:r>
    </w:p>
    <w:p w:rsidR="00065E46" w:rsidRDefault="00065E46" w:rsidP="00065E46">
      <w:pPr>
        <w:pStyle w:val="1"/>
        <w:numPr>
          <w:ilvl w:val="0"/>
          <w:numId w:val="1"/>
        </w:numPr>
        <w:spacing w:line="600" w:lineRule="exact"/>
        <w:ind w:left="0" w:firstLine="640"/>
        <w:rPr>
          <w:rFonts w:ascii="仿宋_GB2312"/>
          <w:sz w:val="32"/>
          <w:szCs w:val="32"/>
        </w:rPr>
      </w:pPr>
      <w:r>
        <w:rPr>
          <w:rFonts w:ascii="仿宋_GB2312" w:hint="eastAsia"/>
          <w:sz w:val="32"/>
          <w:szCs w:val="32"/>
        </w:rPr>
        <w:t>燃油燃气锅炉启动前确保足够时间的空气吹扫；快开门压力容器使用前要确保</w:t>
      </w:r>
      <w:proofErr w:type="gramStart"/>
      <w:r>
        <w:rPr>
          <w:rFonts w:ascii="仿宋_GB2312" w:hint="eastAsia"/>
          <w:sz w:val="32"/>
          <w:szCs w:val="32"/>
        </w:rPr>
        <w:t>联锁</w:t>
      </w:r>
      <w:proofErr w:type="gramEnd"/>
      <w:r>
        <w:rPr>
          <w:rFonts w:ascii="仿宋_GB2312" w:hint="eastAsia"/>
          <w:sz w:val="32"/>
          <w:szCs w:val="32"/>
        </w:rPr>
        <w:t>保护装置功能正常；压力管道使用前要检查是否存在管道内外腐蚀和泄漏；大型装置投入使用前需做好设备联调和消缺工作。</w:t>
      </w:r>
    </w:p>
    <w:p w:rsidR="00065E46" w:rsidRDefault="00065E46" w:rsidP="00065E46">
      <w:pPr>
        <w:pStyle w:val="1"/>
        <w:numPr>
          <w:ilvl w:val="0"/>
          <w:numId w:val="1"/>
        </w:numPr>
        <w:spacing w:line="600" w:lineRule="exact"/>
        <w:ind w:left="0" w:firstLine="640"/>
        <w:rPr>
          <w:rFonts w:ascii="仿宋_GB2312"/>
          <w:sz w:val="32"/>
          <w:szCs w:val="32"/>
        </w:rPr>
      </w:pPr>
      <w:r>
        <w:rPr>
          <w:rFonts w:ascii="仿宋_GB2312" w:hint="eastAsia"/>
          <w:sz w:val="32"/>
          <w:szCs w:val="32"/>
        </w:rPr>
        <w:t>对发现的特种设备安全隐患应及时进行整改，并实行闭环管理，不整改到位一律不得投入使用。</w:t>
      </w:r>
    </w:p>
    <w:p w:rsidR="00065E46" w:rsidRDefault="00065E46" w:rsidP="00065E46">
      <w:pPr>
        <w:spacing w:line="600" w:lineRule="exact"/>
        <w:ind w:firstLineChars="200" w:firstLine="640"/>
        <w:rPr>
          <w:rFonts w:ascii="黑体" w:eastAsia="黑体" w:hAnsi="黑体"/>
          <w:szCs w:val="32"/>
        </w:rPr>
      </w:pPr>
      <w:r>
        <w:rPr>
          <w:rFonts w:ascii="黑体" w:eastAsia="黑体" w:hAnsi="黑体" w:hint="eastAsia"/>
          <w:szCs w:val="32"/>
        </w:rPr>
        <w:t>三、制定完善特种设备事故应急预案</w:t>
      </w:r>
    </w:p>
    <w:p w:rsidR="00065E46" w:rsidRDefault="00065E46" w:rsidP="00065E46">
      <w:pPr>
        <w:spacing w:line="600" w:lineRule="exact"/>
        <w:ind w:firstLineChars="200" w:firstLine="640"/>
        <w:rPr>
          <w:rFonts w:ascii="仿宋_GB2312" w:hint="eastAsia"/>
          <w:szCs w:val="32"/>
        </w:rPr>
      </w:pPr>
      <w:r>
        <w:rPr>
          <w:rFonts w:ascii="仿宋_GB2312" w:hint="eastAsia"/>
          <w:szCs w:val="32"/>
        </w:rPr>
        <w:t>认真分析复工复产期间各种危险因素，制定、完善应急救援预案并开展一次有针对性的培训和演练，确保一旦发生突发情况，保证应急处理措施落实到位。</w:t>
      </w:r>
    </w:p>
    <w:p w:rsidR="00065E46" w:rsidRDefault="00065E46" w:rsidP="00065E46">
      <w:pPr>
        <w:spacing w:line="600" w:lineRule="exact"/>
        <w:ind w:firstLineChars="200" w:firstLine="640"/>
        <w:jc w:val="left"/>
        <w:rPr>
          <w:rFonts w:ascii="黑体" w:eastAsia="黑体" w:hAnsi="黑体" w:hint="eastAsia"/>
          <w:sz w:val="44"/>
          <w:szCs w:val="44"/>
        </w:rPr>
      </w:pPr>
      <w:r>
        <w:rPr>
          <w:rFonts w:ascii="黑体" w:eastAsia="黑体" w:hAnsi="黑体" w:hint="eastAsia"/>
          <w:szCs w:val="32"/>
        </w:rPr>
        <w:t>四、特种设备法规及事故案例学习材料（</w:t>
      </w:r>
      <w:proofErr w:type="gramStart"/>
      <w:r>
        <w:rPr>
          <w:rFonts w:ascii="黑体" w:eastAsia="黑体" w:hAnsi="黑体" w:hint="eastAsia"/>
          <w:szCs w:val="32"/>
        </w:rPr>
        <w:t>请扫二</w:t>
      </w:r>
      <w:proofErr w:type="gramEnd"/>
      <w:r>
        <w:rPr>
          <w:rFonts w:ascii="黑体" w:eastAsia="黑体" w:hAnsi="黑体" w:hint="eastAsia"/>
          <w:szCs w:val="32"/>
        </w:rPr>
        <w:t>维码）</w:t>
      </w:r>
    </w:p>
    <w:p w:rsidR="00065E46" w:rsidRDefault="00065E46" w:rsidP="00065E46">
      <w:pPr>
        <w:ind w:firstLineChars="200" w:firstLine="640"/>
        <w:jc w:val="center"/>
        <w:rPr>
          <w:rFonts w:ascii="仿宋_GB2312" w:hAnsi="Calibri" w:hint="eastAsia"/>
          <w:szCs w:val="32"/>
        </w:rPr>
      </w:pPr>
      <w:r>
        <w:rPr>
          <w:rFonts w:ascii="仿宋_GB2312" w:hAnsi="Calibri" w:hint="eastAsia"/>
          <w:szCs w:val="32"/>
        </w:rPr>
        <w:t>特种设备法律法规、安全技术规范汇编</w:t>
      </w:r>
    </w:p>
    <w:p w:rsidR="00065E46" w:rsidRDefault="00065E46" w:rsidP="00065E46">
      <w:pPr>
        <w:spacing w:line="480" w:lineRule="auto"/>
        <w:jc w:val="center"/>
        <w:rPr>
          <w:rFonts w:ascii="仿宋_GB2312" w:hint="eastAsia"/>
          <w:szCs w:val="32"/>
        </w:rPr>
      </w:pPr>
      <w:r>
        <w:rPr>
          <w:noProof/>
        </w:rPr>
        <w:drawing>
          <wp:inline distT="0" distB="0" distL="0" distR="0">
            <wp:extent cx="1485900" cy="14859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srcRect/>
                    <a:stretch>
                      <a:fillRect/>
                    </a:stretch>
                  </pic:blipFill>
                  <pic:spPr bwMode="auto">
                    <a:xfrm>
                      <a:off x="0" y="0"/>
                      <a:ext cx="1485900" cy="1485900"/>
                    </a:xfrm>
                    <a:prstGeom prst="rect">
                      <a:avLst/>
                    </a:prstGeom>
                    <a:noFill/>
                    <a:ln w="9525">
                      <a:noFill/>
                      <a:miter lim="800000"/>
                      <a:headEnd/>
                      <a:tailEnd/>
                    </a:ln>
                  </pic:spPr>
                </pic:pic>
              </a:graphicData>
            </a:graphic>
          </wp:inline>
        </w:drawing>
      </w:r>
    </w:p>
    <w:p w:rsidR="00065E46" w:rsidRDefault="00065E46" w:rsidP="00065E46">
      <w:pPr>
        <w:ind w:firstLineChars="200" w:firstLine="640"/>
        <w:jc w:val="center"/>
        <w:rPr>
          <w:rFonts w:ascii="仿宋_GB2312" w:hAnsi="Calibri" w:hint="eastAsia"/>
          <w:szCs w:val="32"/>
        </w:rPr>
      </w:pPr>
    </w:p>
    <w:p w:rsidR="00065E46" w:rsidRDefault="00065E46" w:rsidP="00065E46">
      <w:pPr>
        <w:ind w:firstLineChars="200" w:firstLine="640"/>
        <w:jc w:val="center"/>
        <w:rPr>
          <w:rFonts w:ascii="仿宋_GB2312" w:hAnsi="Calibri" w:hint="eastAsia"/>
          <w:szCs w:val="32"/>
        </w:rPr>
      </w:pPr>
    </w:p>
    <w:p w:rsidR="00065E46" w:rsidRDefault="00065E46" w:rsidP="00065E46">
      <w:pPr>
        <w:ind w:firstLineChars="200" w:firstLine="640"/>
        <w:jc w:val="center"/>
        <w:rPr>
          <w:rFonts w:ascii="仿宋_GB2312" w:hAnsi="Calibri" w:hint="eastAsia"/>
          <w:szCs w:val="32"/>
        </w:rPr>
      </w:pPr>
      <w:r>
        <w:rPr>
          <w:rFonts w:ascii="仿宋_GB2312" w:hAnsi="Calibri" w:hint="eastAsia"/>
          <w:szCs w:val="32"/>
        </w:rPr>
        <w:lastRenderedPageBreak/>
        <w:t>承压类特种设备典型事故案例选编</w:t>
      </w:r>
    </w:p>
    <w:p w:rsidR="00065E46" w:rsidRDefault="00065E46" w:rsidP="00065E46">
      <w:pPr>
        <w:spacing w:line="480" w:lineRule="auto"/>
        <w:jc w:val="center"/>
        <w:rPr>
          <w:rFonts w:ascii="仿宋_GB2312" w:hint="eastAsia"/>
          <w:szCs w:val="32"/>
        </w:rPr>
      </w:pPr>
      <w:r>
        <w:rPr>
          <w:noProof/>
        </w:rPr>
        <w:drawing>
          <wp:inline distT="0" distB="0" distL="0" distR="0">
            <wp:extent cx="1447800" cy="14097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cstate="print"/>
                    <a:srcRect/>
                    <a:stretch>
                      <a:fillRect/>
                    </a:stretch>
                  </pic:blipFill>
                  <pic:spPr bwMode="auto">
                    <a:xfrm>
                      <a:off x="0" y="0"/>
                      <a:ext cx="1447800" cy="1409700"/>
                    </a:xfrm>
                    <a:prstGeom prst="rect">
                      <a:avLst/>
                    </a:prstGeom>
                    <a:noFill/>
                    <a:ln w="9525">
                      <a:noFill/>
                      <a:miter lim="800000"/>
                      <a:headEnd/>
                      <a:tailEnd/>
                    </a:ln>
                  </pic:spPr>
                </pic:pic>
              </a:graphicData>
            </a:graphic>
          </wp:inline>
        </w:drawing>
      </w:r>
    </w:p>
    <w:p w:rsidR="00065E46" w:rsidRDefault="00065E46" w:rsidP="00065E46">
      <w:pPr>
        <w:ind w:firstLineChars="200" w:firstLine="640"/>
        <w:jc w:val="center"/>
        <w:rPr>
          <w:rFonts w:ascii="仿宋_GB2312" w:hAnsi="Calibri" w:hint="eastAsia"/>
          <w:szCs w:val="32"/>
        </w:rPr>
      </w:pPr>
    </w:p>
    <w:p w:rsidR="00065E46" w:rsidRDefault="00065E46" w:rsidP="00065E46">
      <w:pPr>
        <w:ind w:firstLineChars="200" w:firstLine="640"/>
        <w:jc w:val="center"/>
        <w:rPr>
          <w:rFonts w:ascii="仿宋_GB2312" w:hAnsi="Calibri" w:hint="eastAsia"/>
          <w:szCs w:val="32"/>
        </w:rPr>
      </w:pPr>
      <w:r>
        <w:rPr>
          <w:rFonts w:ascii="仿宋_GB2312" w:hAnsi="Calibri" w:hint="eastAsia"/>
          <w:szCs w:val="32"/>
        </w:rPr>
        <w:t>机电类特种设备典型事故案例选编</w:t>
      </w:r>
    </w:p>
    <w:p w:rsidR="00065E46" w:rsidRDefault="00065E46" w:rsidP="00065E46">
      <w:pPr>
        <w:ind w:firstLineChars="1034" w:firstLine="3309"/>
        <w:rPr>
          <w:rFonts w:ascii="仿宋_GB2312" w:hint="eastAsia"/>
          <w:szCs w:val="32"/>
        </w:rPr>
      </w:pPr>
      <w:r>
        <w:rPr>
          <w:noProof/>
        </w:rPr>
        <w:drawing>
          <wp:inline distT="0" distB="0" distL="0" distR="0">
            <wp:extent cx="1447800" cy="144018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srcRect/>
                    <a:stretch>
                      <a:fillRect/>
                    </a:stretch>
                  </pic:blipFill>
                  <pic:spPr bwMode="auto">
                    <a:xfrm>
                      <a:off x="0" y="0"/>
                      <a:ext cx="1447800" cy="1440180"/>
                    </a:xfrm>
                    <a:prstGeom prst="rect">
                      <a:avLst/>
                    </a:prstGeom>
                    <a:noFill/>
                    <a:ln w="9525">
                      <a:noFill/>
                      <a:miter lim="800000"/>
                      <a:headEnd/>
                      <a:tailEnd/>
                    </a:ln>
                  </pic:spPr>
                </pic:pic>
              </a:graphicData>
            </a:graphic>
          </wp:inline>
        </w:drawing>
      </w:r>
    </w:p>
    <w:p w:rsidR="00065E46" w:rsidRDefault="00065E46" w:rsidP="00065E46">
      <w:pPr>
        <w:ind w:firstLineChars="200" w:firstLine="640"/>
        <w:rPr>
          <w:rFonts w:ascii="仿宋_GB2312" w:hint="eastAsia"/>
          <w:szCs w:val="32"/>
        </w:rPr>
      </w:pPr>
    </w:p>
    <w:p w:rsidR="00065E46" w:rsidRDefault="00065E46" w:rsidP="00065E46">
      <w:pPr>
        <w:ind w:firstLineChars="200" w:firstLine="640"/>
        <w:rPr>
          <w:rFonts w:ascii="仿宋_GB2312"/>
          <w:szCs w:val="32"/>
        </w:rPr>
      </w:pPr>
    </w:p>
    <w:p w:rsidR="00065E46" w:rsidRDefault="00065E46" w:rsidP="00065E46">
      <w:pPr>
        <w:ind w:firstLineChars="200" w:firstLine="640"/>
        <w:jc w:val="right"/>
        <w:rPr>
          <w:szCs w:val="32"/>
        </w:rPr>
      </w:pPr>
      <w:r>
        <w:rPr>
          <w:szCs w:val="32"/>
        </w:rPr>
        <w:t>广东省市场监督管理局</w:t>
      </w:r>
      <w:r>
        <w:rPr>
          <w:szCs w:val="32"/>
        </w:rPr>
        <w:tab/>
      </w:r>
      <w:r>
        <w:rPr>
          <w:szCs w:val="32"/>
        </w:rPr>
        <w:tab/>
      </w:r>
      <w:r>
        <w:rPr>
          <w:szCs w:val="32"/>
        </w:rPr>
        <w:tab/>
      </w:r>
      <w:r>
        <w:rPr>
          <w:szCs w:val="32"/>
        </w:rPr>
        <w:tab/>
      </w:r>
    </w:p>
    <w:p w:rsidR="00065E46" w:rsidRDefault="00065E46" w:rsidP="00065E46">
      <w:pPr>
        <w:ind w:firstLineChars="200" w:firstLine="640"/>
        <w:jc w:val="right"/>
        <w:rPr>
          <w:rFonts w:ascii="仿宋_GB2312"/>
          <w:szCs w:val="32"/>
        </w:rPr>
      </w:pPr>
      <w:r>
        <w:rPr>
          <w:szCs w:val="32"/>
        </w:rPr>
        <w:t xml:space="preserve">　　　　</w:t>
      </w:r>
      <w:r>
        <w:rPr>
          <w:szCs w:val="32"/>
        </w:rPr>
        <w:t>2020</w:t>
      </w:r>
      <w:r>
        <w:rPr>
          <w:szCs w:val="32"/>
        </w:rPr>
        <w:t>年</w:t>
      </w:r>
      <w:r>
        <w:rPr>
          <w:szCs w:val="32"/>
        </w:rPr>
        <w:t>2</w:t>
      </w:r>
      <w:r>
        <w:rPr>
          <w:szCs w:val="32"/>
        </w:rPr>
        <w:t>月</w:t>
      </w:r>
      <w:r>
        <w:rPr>
          <w:szCs w:val="32"/>
        </w:rPr>
        <w:t xml:space="preserve"> 6</w:t>
      </w:r>
      <w:r>
        <w:rPr>
          <w:szCs w:val="32"/>
        </w:rPr>
        <w:t>日</w:t>
      </w:r>
      <w:r>
        <w:rPr>
          <w:szCs w:val="32"/>
        </w:rPr>
        <w:tab/>
      </w:r>
      <w:r>
        <w:rPr>
          <w:szCs w:val="32"/>
        </w:rPr>
        <w:tab/>
      </w:r>
      <w:r>
        <w:rPr>
          <w:rFonts w:ascii="仿宋_GB2312"/>
          <w:szCs w:val="32"/>
        </w:rPr>
        <w:tab/>
      </w:r>
      <w:r>
        <w:rPr>
          <w:rFonts w:ascii="仿宋_GB2312"/>
          <w:szCs w:val="32"/>
        </w:rPr>
        <w:tab/>
      </w:r>
      <w:r>
        <w:rPr>
          <w:rFonts w:ascii="仿宋_GB2312"/>
          <w:szCs w:val="32"/>
        </w:rPr>
        <w:tab/>
      </w:r>
      <w:r>
        <w:rPr>
          <w:rFonts w:ascii="仿宋_GB2312"/>
          <w:szCs w:val="32"/>
        </w:rPr>
        <w:tab/>
      </w:r>
    </w:p>
    <w:p w:rsidR="00065E46" w:rsidRDefault="00065E46" w:rsidP="00065E46">
      <w:pPr>
        <w:rPr>
          <w:rFonts w:ascii="仿宋_GB2312"/>
          <w:szCs w:val="32"/>
        </w:rPr>
      </w:pPr>
      <w:r>
        <w:rPr>
          <w:rFonts w:ascii="仿宋_GB2312" w:hint="eastAsia"/>
          <w:szCs w:val="32"/>
        </w:rPr>
        <w:t>─────────────────────────</w:t>
      </w:r>
    </w:p>
    <w:p w:rsidR="00065E46" w:rsidRDefault="00065E46" w:rsidP="00065E46">
      <w:pPr>
        <w:spacing w:line="480" w:lineRule="auto"/>
        <w:rPr>
          <w:rFonts w:ascii="仿宋_GB2312"/>
          <w:szCs w:val="32"/>
        </w:rPr>
      </w:pPr>
      <w:r>
        <w:rPr>
          <w:rFonts w:ascii="仿宋_GB2312" w:hint="eastAsia"/>
          <w:szCs w:val="32"/>
        </w:rPr>
        <w:t>复工复产单位负责人签收（签名）：</w:t>
      </w:r>
    </w:p>
    <w:p w:rsidR="00065E46" w:rsidRDefault="00065E46" w:rsidP="00065E46">
      <w:pPr>
        <w:spacing w:line="480" w:lineRule="auto"/>
        <w:ind w:left="2940" w:firstLine="420"/>
        <w:rPr>
          <w:rFonts w:ascii="仿宋_GB2312"/>
          <w:szCs w:val="32"/>
        </w:rPr>
      </w:pPr>
      <w:r>
        <w:rPr>
          <w:rFonts w:ascii="仿宋_GB2312" w:hint="eastAsia"/>
          <w:szCs w:val="32"/>
        </w:rPr>
        <w:t>联系电话：</w:t>
      </w:r>
    </w:p>
    <w:p w:rsidR="00065E46" w:rsidRDefault="00065E46" w:rsidP="00065E46">
      <w:pPr>
        <w:spacing w:line="480" w:lineRule="auto"/>
        <w:ind w:left="2940" w:firstLine="420"/>
        <w:rPr>
          <w:rFonts w:ascii="仿宋_GB2312"/>
          <w:szCs w:val="32"/>
        </w:rPr>
      </w:pPr>
      <w:r>
        <w:rPr>
          <w:rFonts w:ascii="仿宋_GB2312" w:hint="eastAsia"/>
          <w:szCs w:val="32"/>
        </w:rPr>
        <w:t>单位公章：</w:t>
      </w:r>
    </w:p>
    <w:p w:rsidR="00065E46" w:rsidRDefault="00065E46" w:rsidP="00065E46">
      <w:pPr>
        <w:spacing w:line="480" w:lineRule="auto"/>
        <w:jc w:val="center"/>
        <w:rPr>
          <w:rFonts w:ascii="仿宋_GB2312" w:hint="eastAsia"/>
          <w:szCs w:val="30"/>
        </w:rPr>
        <w:sectPr w:rsidR="00065E46">
          <w:headerReference w:type="even" r:id="rId8"/>
          <w:headerReference w:type="default" r:id="rId9"/>
          <w:footerReference w:type="even" r:id="rId10"/>
          <w:footerReference w:type="default" r:id="rId11"/>
          <w:headerReference w:type="first" r:id="rId12"/>
          <w:footerReference w:type="first" r:id="rId13"/>
          <w:pgSz w:w="11906" w:h="16838"/>
          <w:pgMar w:top="1246" w:right="1418" w:bottom="1663" w:left="1588" w:header="851" w:footer="1254" w:gutter="0"/>
          <w:cols w:space="720"/>
          <w:titlePg/>
          <w:docGrid w:type="lines" w:linePitch="312"/>
        </w:sectPr>
      </w:pPr>
    </w:p>
    <w:p w:rsidR="00D81750" w:rsidRDefault="00D81750"/>
    <w:sectPr w:rsidR="00D81750" w:rsidSect="00D817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中等线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3A" w:rsidRDefault="00065E46">
    <w:pPr>
      <w:pStyle w:val="a5"/>
    </w:pPr>
    <w:proofErr w:type="gramStart"/>
    <w:r>
      <w:rPr>
        <w:rStyle w:val="a4"/>
        <w:rFonts w:eastAsia="方正中等线简体" w:hint="eastAsia"/>
        <w:spacing w:val="40"/>
        <w:sz w:val="28"/>
      </w:rPr>
      <w:t>一</w:t>
    </w:r>
    <w:proofErr w:type="gramEnd"/>
    <w:r>
      <w:rPr>
        <w:spacing w:val="40"/>
        <w:sz w:val="28"/>
      </w:rPr>
      <w:fldChar w:fldCharType="begin"/>
    </w:r>
    <w:r>
      <w:rPr>
        <w:rStyle w:val="a4"/>
        <w:spacing w:val="40"/>
        <w:sz w:val="28"/>
      </w:rPr>
      <w:instrText xml:space="preserve">PAGE  </w:instrText>
    </w:r>
    <w:r>
      <w:rPr>
        <w:spacing w:val="40"/>
        <w:sz w:val="28"/>
      </w:rPr>
      <w:fldChar w:fldCharType="separate"/>
    </w:r>
    <w:r>
      <w:rPr>
        <w:rStyle w:val="a4"/>
        <w:noProof/>
        <w:spacing w:val="40"/>
        <w:sz w:val="28"/>
      </w:rPr>
      <w:t>6</w:t>
    </w:r>
    <w:r>
      <w:rPr>
        <w:spacing w:val="40"/>
        <w:sz w:val="28"/>
      </w:rPr>
      <w:fldChar w:fldCharType="end"/>
    </w:r>
    <w:r>
      <w:rPr>
        <w:rStyle w:val="a4"/>
        <w:rFonts w:eastAsia="方正中等线简体" w:hint="eastAsia"/>
        <w:spacing w:val="40"/>
        <w:sz w:val="28"/>
      </w:rPr>
      <w:t>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3A" w:rsidRDefault="00065E46">
    <w:pPr>
      <w:pStyle w:val="a5"/>
      <w:spacing w:after="120"/>
      <w:jc w:val="right"/>
      <w:rPr>
        <w:rFonts w:hint="eastAsia"/>
      </w:rPr>
    </w:pPr>
    <w:proofErr w:type="gramStart"/>
    <w:r>
      <w:rPr>
        <w:rStyle w:val="a4"/>
        <w:rFonts w:eastAsia="方正中等线简体" w:hint="eastAsia"/>
        <w:spacing w:val="40"/>
        <w:sz w:val="28"/>
      </w:rPr>
      <w:t>一</w:t>
    </w:r>
    <w:proofErr w:type="gramEnd"/>
    <w:r>
      <w:rPr>
        <w:spacing w:val="40"/>
        <w:sz w:val="28"/>
      </w:rPr>
      <w:fldChar w:fldCharType="begin"/>
    </w:r>
    <w:r>
      <w:rPr>
        <w:rStyle w:val="a4"/>
        <w:spacing w:val="40"/>
        <w:sz w:val="28"/>
      </w:rPr>
      <w:instrText xml:space="preserve">PAGE  </w:instrText>
    </w:r>
    <w:r>
      <w:rPr>
        <w:spacing w:val="40"/>
        <w:sz w:val="28"/>
      </w:rPr>
      <w:fldChar w:fldCharType="separate"/>
    </w:r>
    <w:r>
      <w:rPr>
        <w:rStyle w:val="a4"/>
        <w:noProof/>
        <w:spacing w:val="40"/>
        <w:sz w:val="28"/>
      </w:rPr>
      <w:t>3</w:t>
    </w:r>
    <w:r>
      <w:rPr>
        <w:spacing w:val="40"/>
        <w:sz w:val="28"/>
      </w:rPr>
      <w:fldChar w:fldCharType="end"/>
    </w:r>
    <w:r>
      <w:rPr>
        <w:rStyle w:val="a4"/>
        <w:rFonts w:eastAsia="方正中等线简体" w:hint="eastAsia"/>
        <w:spacing w:val="40"/>
        <w:sz w:val="28"/>
      </w:rPr>
      <w:t>一</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3A" w:rsidRDefault="00065E46">
    <w:pPr>
      <w:pStyle w:val="a5"/>
      <w:spacing w:after="120"/>
      <w:jc w:val="right"/>
      <w:rPr>
        <w:rFonts w:hint="eastAsia"/>
      </w:rPr>
    </w:pPr>
    <w:r>
      <w:rPr>
        <w:rStyle w:val="a4"/>
        <w:rFonts w:eastAsia="方正中等线简体" w:hint="eastAsia"/>
        <w:spacing w:val="40"/>
        <w:sz w:val="28"/>
      </w:rPr>
      <w:t xml:space="preserve">                              </w:t>
    </w:r>
    <w:r>
      <w:pict>
        <v:line id="Line 1" o:spid="_x0000_s1025" style="position:absolute;left:0;text-align:left;z-index:251660288;mso-position-horizontal-relative:text;mso-position-vertical-relative:page" from="-19.5pt,760.55pt" to="462.4pt,760.6pt" strokecolor="red" strokeweight="4.5pt">
          <v:stroke linestyle="thinThick"/>
          <w10:wrap type="topAndBottom" anchory="page"/>
          <w10:anchorlock/>
        </v:lin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3A" w:rsidRDefault="00065E4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3A" w:rsidRDefault="00065E46">
    <w:pPr>
      <w:pStyle w:val="a3"/>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3A" w:rsidRDefault="00065E4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96543"/>
    <w:multiLevelType w:val="multilevel"/>
    <w:tmpl w:val="51296543"/>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65E46"/>
    <w:rsid w:val="00065E46"/>
    <w:rsid w:val="00D81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E4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qFormat/>
    <w:rsid w:val="00065E46"/>
    <w:rPr>
      <w:sz w:val="18"/>
      <w:szCs w:val="18"/>
    </w:rPr>
  </w:style>
  <w:style w:type="character" w:styleId="a4">
    <w:name w:val="page number"/>
    <w:basedOn w:val="a0"/>
    <w:qFormat/>
    <w:rsid w:val="00065E46"/>
  </w:style>
  <w:style w:type="character" w:customStyle="1" w:styleId="Char0">
    <w:name w:val="页脚 Char"/>
    <w:link w:val="a5"/>
    <w:rsid w:val="00065E46"/>
    <w:rPr>
      <w:sz w:val="18"/>
      <w:szCs w:val="18"/>
    </w:rPr>
  </w:style>
  <w:style w:type="paragraph" w:customStyle="1" w:styleId="1">
    <w:name w:val="列表段落1"/>
    <w:basedOn w:val="a"/>
    <w:uiPriority w:val="34"/>
    <w:qFormat/>
    <w:rsid w:val="00065E46"/>
    <w:pPr>
      <w:ind w:firstLineChars="200" w:firstLine="420"/>
    </w:pPr>
    <w:rPr>
      <w:rFonts w:ascii="Calibri" w:hAnsi="Calibri"/>
      <w:sz w:val="30"/>
    </w:rPr>
  </w:style>
  <w:style w:type="paragraph" w:styleId="a3">
    <w:name w:val="header"/>
    <w:basedOn w:val="a"/>
    <w:link w:val="Char"/>
    <w:qFormat/>
    <w:rsid w:val="00065E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065E46"/>
    <w:rPr>
      <w:rFonts w:ascii="Times New Roman" w:eastAsia="仿宋_GB2312" w:hAnsi="Times New Roman" w:cs="Times New Roman"/>
      <w:sz w:val="18"/>
      <w:szCs w:val="18"/>
    </w:rPr>
  </w:style>
  <w:style w:type="paragraph" w:styleId="a5">
    <w:name w:val="footer"/>
    <w:basedOn w:val="a"/>
    <w:link w:val="Char0"/>
    <w:rsid w:val="00065E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5"/>
    <w:uiPriority w:val="99"/>
    <w:semiHidden/>
    <w:rsid w:val="00065E46"/>
    <w:rPr>
      <w:rFonts w:ascii="Times New Roman" w:eastAsia="仿宋_GB2312" w:hAnsi="Times New Roman" w:cs="Times New Roman"/>
      <w:sz w:val="18"/>
      <w:szCs w:val="18"/>
    </w:rPr>
  </w:style>
  <w:style w:type="paragraph" w:styleId="a6">
    <w:name w:val="Balloon Text"/>
    <w:basedOn w:val="a"/>
    <w:link w:val="Char2"/>
    <w:uiPriority w:val="99"/>
    <w:semiHidden/>
    <w:unhideWhenUsed/>
    <w:rsid w:val="00065E46"/>
    <w:rPr>
      <w:sz w:val="18"/>
      <w:szCs w:val="18"/>
    </w:rPr>
  </w:style>
  <w:style w:type="character" w:customStyle="1" w:styleId="Char2">
    <w:name w:val="批注框文本 Char"/>
    <w:basedOn w:val="a0"/>
    <w:link w:val="a6"/>
    <w:uiPriority w:val="99"/>
    <w:semiHidden/>
    <w:rsid w:val="00065E46"/>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cp:revision>
  <dcterms:created xsi:type="dcterms:W3CDTF">2020-02-08T08:00:00Z</dcterms:created>
  <dcterms:modified xsi:type="dcterms:W3CDTF">2020-02-08T08:00:00Z</dcterms:modified>
</cp:coreProperties>
</file>