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sz w:val="36"/>
          <w:szCs w:val="36"/>
        </w:rPr>
      </w:pPr>
      <w:bookmarkStart w:id="0" w:name="_GoBack"/>
      <w:bookmarkEnd w:id="0"/>
      <w:r>
        <w:rPr>
          <w:rFonts w:hint="eastAsia" w:ascii="仿宋_GB2312" w:hAnsi="宋体" w:eastAsia="仿宋_GB2312" w:cs="Times New Roman"/>
          <w:b/>
          <w:sz w:val="36"/>
          <w:szCs w:val="36"/>
        </w:rPr>
        <w:t>场（厂）内专用机动车辆修理单位</w:t>
      </w:r>
      <w:r>
        <w:rPr>
          <w:rFonts w:hint="eastAsia" w:ascii="仿宋_GB2312" w:hAnsi="宋体" w:eastAsia="仿宋_GB2312" w:cs="Times New Roman"/>
          <w:b/>
          <w:sz w:val="36"/>
          <w:szCs w:val="36"/>
          <w:lang w:eastAsia="zh-CN"/>
        </w:rPr>
        <w:t>证后</w:t>
      </w:r>
      <w:r>
        <w:rPr>
          <w:rFonts w:hint="eastAsia" w:ascii="仿宋_GB2312" w:hAnsi="宋体" w:eastAsia="仿宋_GB2312" w:cs="Times New Roman"/>
          <w:b/>
          <w:sz w:val="36"/>
          <w:szCs w:val="36"/>
        </w:rPr>
        <w:t>监督抽查项目、内容及记录</w:t>
      </w:r>
    </w:p>
    <w:p>
      <w:pPr>
        <w:spacing w:line="480" w:lineRule="exact"/>
        <w:jc w:val="cente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  编号：</w:t>
      </w:r>
    </w:p>
    <w:tbl>
      <w:tblPr>
        <w:tblStyle w:val="5"/>
        <w:tblW w:w="1394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40"/>
        <w:gridCol w:w="4078"/>
        <w:gridCol w:w="2192"/>
        <w:gridCol w:w="53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单位名称</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注册地址</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办公地址</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lang w:eastAsia="zh-CN"/>
              </w:rPr>
              <w:t>修理车间</w:t>
            </w:r>
            <w:r>
              <w:rPr>
                <w:rFonts w:hint="eastAsia" w:ascii="宋体" w:hAnsi="宋体" w:eastAsia="宋体" w:cs="Times New Roman"/>
                <w:sz w:val="24"/>
              </w:rPr>
              <w:t>地址</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许可证编号</w:t>
            </w:r>
          </w:p>
        </w:tc>
        <w:tc>
          <w:tcPr>
            <w:tcW w:w="4078" w:type="dxa"/>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许可有效期</w:t>
            </w:r>
          </w:p>
        </w:tc>
        <w:tc>
          <w:tcPr>
            <w:tcW w:w="533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年   月 </w:t>
            </w:r>
            <w:r>
              <w:rPr>
                <w:rFonts w:ascii="宋体" w:hAnsi="宋体" w:eastAsia="宋体" w:cs="Times New Roman"/>
                <w:sz w:val="24"/>
              </w:rPr>
              <w:t xml:space="preserve"> </w:t>
            </w:r>
            <w:r>
              <w:rPr>
                <w:rFonts w:hint="eastAsia" w:ascii="宋体" w:hAnsi="宋体" w:eastAsia="宋体" w:cs="Times New Roman"/>
                <w:sz w:val="24"/>
              </w:rPr>
              <w:t xml:space="preserve">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Merge w:val="restart"/>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许可项目</w:t>
            </w:r>
          </w:p>
        </w:tc>
        <w:tc>
          <w:tcPr>
            <w:tcW w:w="11600" w:type="dxa"/>
            <w:gridSpan w:val="3"/>
            <w:tcBorders>
              <w:bottom w:val="single" w:color="auto" w:sz="8" w:space="0"/>
            </w:tcBorders>
            <w:vAlign w:val="center"/>
          </w:tcPr>
          <w:p>
            <w:pPr>
              <w:spacing w:line="480" w:lineRule="exact"/>
              <w:jc w:val="left"/>
              <w:rPr>
                <w:rFonts w:ascii="宋体" w:hAnsi="宋体" w:eastAsia="宋体" w:cs="Times New Roman"/>
                <w:sz w:val="24"/>
              </w:rPr>
            </w:pPr>
            <w:r>
              <w:rPr>
                <w:rFonts w:hint="eastAsia" w:ascii="宋体" w:hAnsi="宋体" w:eastAsia="宋体" w:cs="Times New Roman"/>
                <w:sz w:val="24"/>
              </w:rPr>
              <w:t>□修理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Merge w:val="continue"/>
            <w:vAlign w:val="center"/>
          </w:tcPr>
          <w:p>
            <w:pPr>
              <w:spacing w:line="480" w:lineRule="exact"/>
              <w:jc w:val="center"/>
              <w:rPr>
                <w:rFonts w:ascii="宋体" w:hAnsi="宋体" w:eastAsia="宋体" w:cs="Times New Roman"/>
                <w:sz w:val="24"/>
              </w:rPr>
            </w:pPr>
          </w:p>
        </w:tc>
        <w:tc>
          <w:tcPr>
            <w:tcW w:w="11600" w:type="dxa"/>
            <w:gridSpan w:val="3"/>
            <w:tcBorders>
              <w:top w:val="single" w:color="auto" w:sz="8" w:space="0"/>
            </w:tcBorders>
            <w:vAlign w:val="center"/>
          </w:tcPr>
          <w:p>
            <w:pPr>
              <w:spacing w:line="480" w:lineRule="exact"/>
              <w:jc w:val="left"/>
              <w:rPr>
                <w:rFonts w:ascii="宋体" w:hAnsi="宋体" w:eastAsia="宋体" w:cs="Times New Roman"/>
                <w:sz w:val="24"/>
              </w:rPr>
            </w:pPr>
            <w:r>
              <w:rPr>
                <w:rFonts w:hint="eastAsia" w:ascii="宋体" w:hAnsi="宋体" w:eastAsia="宋体" w:cs="Times New Roman"/>
                <w:sz w:val="24"/>
              </w:rPr>
              <w:t>□提供许可证复印件，详细项目见许可复印件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单位负责人</w:t>
            </w:r>
          </w:p>
        </w:tc>
        <w:tc>
          <w:tcPr>
            <w:tcW w:w="4078" w:type="dxa"/>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联系电话</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tcBorders>
              <w:right w:val="single" w:color="auto" w:sz="8" w:space="0"/>
            </w:tcBorders>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单位联系人</w:t>
            </w:r>
          </w:p>
        </w:tc>
        <w:tc>
          <w:tcPr>
            <w:tcW w:w="4078" w:type="dxa"/>
            <w:tcBorders>
              <w:left w:val="single" w:color="auto" w:sz="8" w:space="0"/>
            </w:tcBorders>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联系电话</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tcBorders>
              <w:right w:val="single" w:color="auto" w:sz="8" w:space="0"/>
            </w:tcBorders>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抽查组员</w:t>
            </w:r>
          </w:p>
        </w:tc>
        <w:tc>
          <w:tcPr>
            <w:tcW w:w="4078" w:type="dxa"/>
            <w:tcBorders>
              <w:left w:val="single" w:color="auto" w:sz="8" w:space="0"/>
            </w:tcBorders>
            <w:vAlign w:val="center"/>
          </w:tcPr>
          <w:p>
            <w:pPr>
              <w:spacing w:line="480" w:lineRule="exact"/>
              <w:jc w:val="left"/>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抽查日期</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抽查组长</w:t>
            </w:r>
          </w:p>
        </w:tc>
        <w:tc>
          <w:tcPr>
            <w:tcW w:w="11600" w:type="dxa"/>
            <w:gridSpan w:val="3"/>
            <w:vAlign w:val="center"/>
          </w:tcPr>
          <w:p>
            <w:pPr>
              <w:spacing w:line="480" w:lineRule="exact"/>
              <w:jc w:val="center"/>
              <w:rPr>
                <w:rFonts w:ascii="宋体" w:hAnsi="宋体" w:eastAsia="等线" w:cs="Times New Roman"/>
                <w:sz w:val="28"/>
                <w:szCs w:val="28"/>
              </w:rPr>
            </w:pPr>
          </w:p>
        </w:tc>
      </w:tr>
    </w:tbl>
    <w:p>
      <w:pPr>
        <w:jc w:val="left"/>
        <w:rPr>
          <w:rFonts w:ascii="仿宋_GB2312" w:hAnsi="宋体" w:eastAsia="仿宋_GB2312" w:cs="Times New Roman"/>
          <w:b/>
          <w:sz w:val="36"/>
          <w:szCs w:val="36"/>
        </w:rPr>
      </w:pPr>
    </w:p>
    <w:p>
      <w:pPr>
        <w:jc w:val="left"/>
        <w:rPr>
          <w:rFonts w:ascii="仿宋_GB2312" w:hAnsi="宋体" w:eastAsia="仿宋_GB2312" w:cs="Times New Roman"/>
          <w:b/>
          <w:sz w:val="36"/>
          <w:szCs w:val="36"/>
        </w:rPr>
      </w:pPr>
    </w:p>
    <w:tbl>
      <w:tblPr>
        <w:tblStyle w:val="6"/>
        <w:tblW w:w="1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4111"/>
        <w:gridCol w:w="1984"/>
        <w:gridCol w:w="2835"/>
        <w:gridCol w:w="188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2" w:type="dxa"/>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851" w:type="dxa"/>
            <w:vAlign w:val="center"/>
          </w:tcPr>
          <w:p>
            <w:pPr>
              <w:jc w:val="center"/>
              <w:rPr>
                <w:rFonts w:ascii="宋体" w:hAnsi="宋体" w:eastAsia="宋体"/>
                <w:b/>
                <w:sz w:val="24"/>
                <w:szCs w:val="24"/>
              </w:rPr>
            </w:pPr>
            <w:r>
              <w:rPr>
                <w:rFonts w:hint="eastAsia" w:ascii="宋体" w:hAnsi="宋体" w:eastAsia="宋体"/>
                <w:b/>
                <w:sz w:val="24"/>
                <w:szCs w:val="24"/>
              </w:rPr>
              <w:t>抽查项目</w:t>
            </w:r>
          </w:p>
        </w:tc>
        <w:tc>
          <w:tcPr>
            <w:tcW w:w="4111" w:type="dxa"/>
            <w:vAlign w:val="center"/>
          </w:tcPr>
          <w:p>
            <w:pPr>
              <w:jc w:val="center"/>
              <w:rPr>
                <w:rFonts w:ascii="宋体" w:hAnsi="宋体" w:eastAsia="宋体"/>
                <w:b/>
                <w:sz w:val="24"/>
                <w:szCs w:val="24"/>
              </w:rPr>
            </w:pPr>
            <w:r>
              <w:rPr>
                <w:rFonts w:hint="eastAsia" w:ascii="宋体" w:hAnsi="宋体" w:eastAsia="宋体"/>
                <w:b/>
                <w:sz w:val="24"/>
                <w:szCs w:val="24"/>
              </w:rPr>
              <w:t>抽查内容</w:t>
            </w:r>
          </w:p>
        </w:tc>
        <w:tc>
          <w:tcPr>
            <w:tcW w:w="1984" w:type="dxa"/>
            <w:vAlign w:val="center"/>
          </w:tcPr>
          <w:p>
            <w:pPr>
              <w:jc w:val="center"/>
              <w:rPr>
                <w:rFonts w:ascii="宋体" w:hAnsi="宋体" w:eastAsia="宋体"/>
                <w:b/>
                <w:sz w:val="24"/>
                <w:szCs w:val="24"/>
              </w:rPr>
            </w:pPr>
            <w:r>
              <w:rPr>
                <w:rFonts w:hint="eastAsia" w:ascii="宋体" w:hAnsi="宋体" w:eastAsia="宋体"/>
                <w:b/>
                <w:sz w:val="24"/>
                <w:szCs w:val="24"/>
              </w:rPr>
              <w:t>抽查依据（法律法规安全技术规范条款）</w:t>
            </w:r>
          </w:p>
        </w:tc>
        <w:tc>
          <w:tcPr>
            <w:tcW w:w="2835" w:type="dxa"/>
            <w:vAlign w:val="center"/>
          </w:tcPr>
          <w:p>
            <w:pPr>
              <w:jc w:val="center"/>
              <w:rPr>
                <w:rFonts w:ascii="宋体" w:hAnsi="宋体" w:eastAsia="宋体"/>
                <w:b/>
                <w:sz w:val="24"/>
                <w:szCs w:val="24"/>
              </w:rPr>
            </w:pPr>
            <w:r>
              <w:rPr>
                <w:rFonts w:hint="eastAsia" w:ascii="宋体" w:hAnsi="宋体" w:eastAsia="宋体"/>
                <w:b/>
                <w:sz w:val="24"/>
                <w:szCs w:val="24"/>
              </w:rPr>
              <w:t>抽查方法</w:t>
            </w:r>
          </w:p>
        </w:tc>
        <w:tc>
          <w:tcPr>
            <w:tcW w:w="1880" w:type="dxa"/>
            <w:vAlign w:val="center"/>
          </w:tcPr>
          <w:p>
            <w:pPr>
              <w:jc w:val="center"/>
              <w:rPr>
                <w:rFonts w:ascii="宋体" w:hAnsi="宋体" w:eastAsia="宋体"/>
                <w:b/>
                <w:sz w:val="24"/>
                <w:szCs w:val="24"/>
              </w:rPr>
            </w:pPr>
            <w:r>
              <w:rPr>
                <w:rFonts w:hint="eastAsia" w:ascii="宋体" w:hAnsi="宋体" w:eastAsia="宋体"/>
                <w:b/>
                <w:sz w:val="24"/>
                <w:szCs w:val="24"/>
              </w:rPr>
              <w:t>抽查结果</w:t>
            </w:r>
          </w:p>
          <w:p>
            <w:pPr>
              <w:jc w:val="center"/>
              <w:rPr>
                <w:rFonts w:ascii="宋体" w:hAnsi="宋体" w:eastAsia="宋体"/>
                <w:b/>
                <w:sz w:val="18"/>
                <w:szCs w:val="18"/>
              </w:rPr>
            </w:pPr>
            <w:r>
              <w:rPr>
                <w:rFonts w:hint="eastAsia" w:ascii="宋体" w:hAnsi="宋体" w:eastAsia="宋体"/>
                <w:b/>
                <w:sz w:val="18"/>
                <w:szCs w:val="18"/>
              </w:rPr>
              <w:t>（有缺陷的填写详细原因并提供照片或视频等见证材料</w:t>
            </w:r>
            <w:r>
              <w:rPr>
                <w:rFonts w:ascii="宋体" w:hAnsi="宋体" w:eastAsia="宋体"/>
                <w:b/>
                <w:sz w:val="18"/>
                <w:szCs w:val="18"/>
              </w:rPr>
              <w:t>）</w:t>
            </w:r>
          </w:p>
        </w:tc>
        <w:tc>
          <w:tcPr>
            <w:tcW w:w="2445" w:type="dxa"/>
            <w:vAlign w:val="center"/>
          </w:tcPr>
          <w:p>
            <w:pPr>
              <w:jc w:val="center"/>
              <w:rPr>
                <w:rFonts w:ascii="宋体" w:hAnsi="宋体" w:eastAsia="宋体"/>
                <w:b/>
                <w:sz w:val="24"/>
                <w:szCs w:val="24"/>
              </w:rPr>
            </w:pPr>
            <w:r>
              <w:rPr>
                <w:rFonts w:hint="eastAsia" w:ascii="宋体" w:hAnsi="宋体" w:eastAsia="宋体"/>
                <w:b/>
                <w:sz w:val="24"/>
                <w:szCs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4668" w:type="dxa"/>
            <w:gridSpan w:val="7"/>
            <w:vAlign w:val="center"/>
          </w:tcPr>
          <w:p>
            <w:pPr>
              <w:rPr>
                <w:rFonts w:ascii="宋体" w:hAnsi="宋体" w:eastAsia="宋体"/>
                <w:b/>
                <w:sz w:val="24"/>
                <w:szCs w:val="24"/>
              </w:rPr>
            </w:pPr>
            <w:r>
              <w:rPr>
                <w:rFonts w:hint="eastAsia" w:ascii="宋体" w:hAnsi="宋体" w:eastAsia="宋体"/>
                <w:b/>
                <w:sz w:val="24"/>
                <w:szCs w:val="24"/>
              </w:rPr>
              <w:t>一、资源条件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sz w:val="24"/>
                <w:szCs w:val="24"/>
              </w:rPr>
              <w:t>许</w:t>
            </w:r>
          </w:p>
          <w:p>
            <w:pPr>
              <w:jc w:val="center"/>
              <w:rPr>
                <w:rFonts w:ascii="宋体" w:hAnsi="宋体" w:eastAsia="宋体"/>
                <w:sz w:val="24"/>
                <w:szCs w:val="24"/>
              </w:rPr>
            </w:pPr>
            <w:r>
              <w:rPr>
                <w:rFonts w:hint="eastAsia" w:ascii="宋体" w:hAnsi="宋体" w:eastAsia="宋体"/>
                <w:sz w:val="24"/>
                <w:szCs w:val="24"/>
              </w:rPr>
              <w:t>可</w:t>
            </w:r>
          </w:p>
          <w:p>
            <w:pPr>
              <w:jc w:val="center"/>
              <w:rPr>
                <w:rFonts w:ascii="宋体" w:hAnsi="宋体" w:eastAsia="宋体"/>
                <w:sz w:val="24"/>
                <w:szCs w:val="24"/>
              </w:rPr>
            </w:pPr>
            <w:r>
              <w:rPr>
                <w:rFonts w:hint="eastAsia" w:ascii="宋体" w:hAnsi="宋体" w:eastAsia="宋体"/>
                <w:sz w:val="24"/>
                <w:szCs w:val="24"/>
              </w:rPr>
              <w:t>证</w:t>
            </w:r>
          </w:p>
        </w:tc>
        <w:tc>
          <w:tcPr>
            <w:tcW w:w="4111" w:type="dxa"/>
            <w:vAlign w:val="center"/>
          </w:tcPr>
          <w:p>
            <w:pPr>
              <w:rPr>
                <w:rFonts w:ascii="仿宋_GB2312" w:hAnsi="仿宋" w:eastAsia="仿宋_GB2312" w:cs="仿宋_GB2312"/>
                <w:sz w:val="24"/>
              </w:rPr>
            </w:pPr>
            <w:r>
              <w:rPr>
                <w:rFonts w:hint="eastAsia" w:ascii="仿宋_GB2312" w:hAnsi="仿宋" w:eastAsia="仿宋_GB2312" w:cs="仿宋_GB2312"/>
                <w:sz w:val="24"/>
              </w:rPr>
              <w:t>许可证变更</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 xml:space="preserve">2019 </w:t>
            </w:r>
            <w:r>
              <w:rPr>
                <w:rFonts w:hint="eastAsia" w:ascii="宋体" w:hAnsi="宋体" w:eastAsia="宋体"/>
                <w:sz w:val="24"/>
                <w:szCs w:val="24"/>
              </w:rPr>
              <w:t>§</w:t>
            </w:r>
            <w:r>
              <w:rPr>
                <w:rFonts w:ascii="宋体" w:hAnsi="宋体" w:eastAsia="宋体"/>
                <w:sz w:val="24"/>
                <w:szCs w:val="24"/>
              </w:rPr>
              <w:t>3.6.2</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核查生产单位名称、（制造、办公）地址是否与核准证一致；生产范围是否在许可证许可范围。</w:t>
            </w:r>
          </w:p>
        </w:tc>
        <w:tc>
          <w:tcPr>
            <w:tcW w:w="1880" w:type="dxa"/>
          </w:tcPr>
          <w:p>
            <w:pPr>
              <w:spacing w:line="400" w:lineRule="exact"/>
              <w:rPr>
                <w:rFonts w:ascii="仿宋_GB2312" w:hAnsi="仿宋" w:eastAsia="仿宋_GB2312" w:cs="仿宋_GB2312"/>
                <w:sz w:val="24"/>
              </w:rPr>
            </w:pPr>
            <w:r>
              <w:rPr>
                <w:rFonts w:hint="eastAsia" w:ascii="仿宋_GB2312" w:hAnsi="仿宋" w:eastAsia="仿宋_GB2312" w:cs="仿宋_GB2312"/>
                <w:sz w:val="24"/>
              </w:rPr>
              <w:t>□符合</w:t>
            </w:r>
          </w:p>
          <w:p>
            <w:pPr>
              <w:rPr>
                <w:rFonts w:ascii="仿宋_GB2312" w:hAnsi="仿宋" w:eastAsia="仿宋_GB2312" w:cs="仿宋_GB2312"/>
                <w:sz w:val="24"/>
              </w:rPr>
            </w:pPr>
            <w:r>
              <w:rPr>
                <w:rFonts w:hint="eastAsia" w:ascii="仿宋_GB2312" w:hAnsi="仿宋" w:eastAsia="仿宋_GB2312" w:cs="仿宋_GB2312"/>
                <w:sz w:val="24"/>
              </w:rPr>
              <w:t>□有缺陷：</w:t>
            </w:r>
          </w:p>
        </w:tc>
        <w:tc>
          <w:tcPr>
            <w:tcW w:w="2445" w:type="dxa"/>
            <w:vAlign w:val="center"/>
          </w:tcPr>
          <w:p>
            <w:pPr>
              <w:rPr>
                <w:rFonts w:ascii="仿宋_GB2312" w:hAnsi="仿宋" w:eastAsia="仿宋_GB2312" w:cs="仿宋_GB2312"/>
                <w:sz w:val="24"/>
              </w:rPr>
            </w:pPr>
            <w:r>
              <w:rPr>
                <w:rFonts w:hint="eastAsia" w:ascii="仿宋_GB2312" w:hAnsi="仿宋" w:eastAsia="仿宋_GB2312" w:cs="仿宋_GB2312"/>
                <w:sz w:val="24"/>
              </w:rPr>
              <w:t>《广东省特种设备安全条例》</w:t>
            </w:r>
          </w:p>
          <w:p>
            <w:pPr>
              <w:rPr>
                <w:rFonts w:ascii="仿宋_GB2312" w:hAnsi="仿宋" w:eastAsia="仿宋_GB2312" w:cs="仿宋_GB2312"/>
                <w:sz w:val="24"/>
              </w:rPr>
            </w:pPr>
            <w:r>
              <w:rPr>
                <w:rFonts w:hint="eastAsia" w:ascii="仿宋_GB2312" w:hAnsi="仿宋" w:eastAsia="仿宋_GB2312" w:cs="仿宋_GB2312"/>
                <w:sz w:val="24"/>
              </w:rPr>
              <w:t>第五十条（一）；</w:t>
            </w:r>
          </w:p>
          <w:p>
            <w:pPr>
              <w:rPr>
                <w:rFonts w:ascii="仿宋_GB2312" w:hAnsi="仿宋" w:eastAsia="仿宋_GB2312" w:cs="仿宋_GB2312"/>
                <w:sz w:val="24"/>
              </w:rPr>
            </w:pPr>
            <w:r>
              <w:rPr>
                <w:rFonts w:hint="eastAsia" w:ascii="仿宋_GB2312" w:hAnsi="仿宋" w:eastAsia="仿宋_GB2312" w:cs="仿宋_GB2312"/>
                <w:sz w:val="24"/>
              </w:rPr>
              <w:t>《特种设备安全法》第八十一条（一）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sz w:val="24"/>
              </w:rPr>
            </w:pPr>
            <w:r>
              <w:rPr>
                <w:rFonts w:hint="eastAsia" w:ascii="仿宋_GB2312" w:hAnsi="仿宋" w:eastAsia="仿宋_GB2312" w:cs="仿宋_GB2312"/>
                <w:sz w:val="24"/>
              </w:rPr>
              <w:t>许可证有效期</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 xml:space="preserve">2019 </w:t>
            </w:r>
            <w:r>
              <w:rPr>
                <w:rFonts w:hint="eastAsia" w:ascii="宋体" w:hAnsi="宋体" w:eastAsia="宋体"/>
                <w:sz w:val="24"/>
                <w:szCs w:val="24"/>
              </w:rPr>
              <w:t>§</w:t>
            </w:r>
            <w:r>
              <w:rPr>
                <w:rFonts w:ascii="宋体" w:hAnsi="宋体" w:eastAsia="宋体"/>
                <w:sz w:val="24"/>
                <w:szCs w:val="24"/>
              </w:rPr>
              <w:t>3.6.3.3</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核查许可证是否在有效期内。</w:t>
            </w:r>
          </w:p>
        </w:tc>
        <w:tc>
          <w:tcPr>
            <w:tcW w:w="1880" w:type="dxa"/>
          </w:tcPr>
          <w:p>
            <w:pPr>
              <w:spacing w:line="400" w:lineRule="exact"/>
              <w:rPr>
                <w:rFonts w:ascii="仿宋_GB2312" w:hAnsi="仿宋" w:eastAsia="仿宋_GB2312" w:cs="仿宋_GB2312"/>
                <w:sz w:val="24"/>
              </w:rPr>
            </w:pPr>
            <w:r>
              <w:rPr>
                <w:rFonts w:hint="eastAsia" w:ascii="仿宋_GB2312" w:hAnsi="仿宋" w:eastAsia="仿宋_GB2312" w:cs="仿宋_GB2312"/>
                <w:sz w:val="24"/>
              </w:rPr>
              <w:t>□符合</w:t>
            </w:r>
          </w:p>
          <w:p>
            <w:pPr>
              <w:rPr>
                <w:rFonts w:ascii="仿宋_GB2312" w:hAnsi="仿宋" w:eastAsia="仿宋_GB2312" w:cs="仿宋_GB2312"/>
                <w:sz w:val="24"/>
              </w:rPr>
            </w:pPr>
            <w:r>
              <w:rPr>
                <w:rFonts w:hint="eastAsia" w:ascii="仿宋_GB2312" w:hAnsi="仿宋" w:eastAsia="仿宋_GB2312" w:cs="仿宋_GB2312"/>
                <w:sz w:val="24"/>
              </w:rPr>
              <w:t>□有缺陷：</w:t>
            </w:r>
          </w:p>
        </w:tc>
        <w:tc>
          <w:tcPr>
            <w:tcW w:w="2445" w:type="dxa"/>
            <w:vAlign w:val="center"/>
          </w:tcPr>
          <w:p>
            <w:pPr>
              <w:rPr>
                <w:rFonts w:ascii="仿宋_GB2312" w:hAnsi="仿宋" w:eastAsia="仿宋_GB2312" w:cs="仿宋_GB2312"/>
                <w:sz w:val="24"/>
              </w:rPr>
            </w:pPr>
            <w:r>
              <w:rPr>
                <w:rFonts w:hint="eastAsia" w:ascii="仿宋_GB2312" w:hAnsi="仿宋" w:eastAsia="仿宋_GB2312" w:cs="仿宋_GB2312"/>
                <w:sz w:val="24"/>
              </w:rPr>
              <w:t>《特种设备安全法》第八十一条（一）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sz w:val="24"/>
                <w:szCs w:val="24"/>
              </w:rPr>
              <w:t>人员</w:t>
            </w:r>
          </w:p>
        </w:tc>
        <w:tc>
          <w:tcPr>
            <w:tcW w:w="13255" w:type="dxa"/>
            <w:gridSpan w:val="5"/>
            <w:vAlign w:val="center"/>
          </w:tcPr>
          <w:p>
            <w:pPr>
              <w:spacing w:line="360" w:lineRule="auto"/>
              <w:ind w:firstLine="34" w:firstLineChars="14"/>
              <w:contextualSpacing/>
              <w:jc w:val="left"/>
              <w:rPr>
                <w:rFonts w:ascii="仿宋_GB2312" w:hAnsi="仿宋_GB2312" w:eastAsia="仿宋_GB2312" w:cs="仿宋_GB2312"/>
                <w:b/>
                <w:sz w:val="24"/>
              </w:rPr>
            </w:pPr>
            <w:r>
              <w:rPr>
                <w:rFonts w:hint="eastAsia" w:ascii="仿宋_GB2312" w:hAnsi="仿宋_GB2312" w:eastAsia="仿宋_GB2312" w:cs="仿宋_GB2312"/>
                <w:b/>
                <w:sz w:val="24"/>
              </w:rPr>
              <w:t>人员统一要求如下：</w:t>
            </w:r>
          </w:p>
          <w:p>
            <w:pPr>
              <w:ind w:firstLine="33" w:firstLineChars="14"/>
              <w:contextualSpacing/>
              <w:jc w:val="left"/>
              <w:rPr>
                <w:rFonts w:ascii="仿宋_GB2312" w:hAnsi="华文楷体" w:eastAsia="仿宋_GB2312" w:cs="宋体"/>
                <w:sz w:val="24"/>
              </w:rPr>
            </w:pPr>
            <w:r>
              <w:rPr>
                <w:rFonts w:hint="eastAsia" w:ascii="仿宋_GB2312" w:hAnsi="仿宋_GB2312" w:eastAsia="仿宋_GB2312" w:cs="仿宋_GB2312"/>
                <w:sz w:val="24"/>
              </w:rPr>
              <w:t>1.</w:t>
            </w:r>
            <w:r>
              <w:rPr>
                <w:rFonts w:hint="eastAsia" w:ascii="仿宋_GB2312" w:hAnsi="华文楷体" w:eastAsia="仿宋_GB2312" w:cs="宋体"/>
                <w:sz w:val="24"/>
              </w:rPr>
              <w:t>社保证明：应提供抽查当月（或上一个月）的社保证明（有社保局盖章或网站可查）。</w:t>
            </w:r>
          </w:p>
          <w:p>
            <w:pPr>
              <w:ind w:firstLine="33" w:firstLineChars="14"/>
              <w:contextualSpacing/>
              <w:jc w:val="left"/>
              <w:rPr>
                <w:rFonts w:ascii="仿宋_GB2312" w:hAnsi="华文楷体" w:eastAsia="仿宋_GB2312" w:cs="宋体"/>
                <w:sz w:val="24"/>
              </w:rPr>
            </w:pPr>
            <w:r>
              <w:rPr>
                <w:rFonts w:hint="eastAsia" w:ascii="仿宋_GB2312" w:hAnsi="华文楷体" w:eastAsia="仿宋_GB2312" w:cs="宋体"/>
                <w:sz w:val="24"/>
              </w:rPr>
              <w:t>2.理工类中专或大专毕业工作一年经考核合格或理工类本科以上毕业，且经生产单位认定，可等同为技术员。</w:t>
            </w:r>
          </w:p>
          <w:p>
            <w:pPr>
              <w:jc w:val="left"/>
              <w:rPr>
                <w:rFonts w:ascii="仿宋_GB2312" w:hAnsi="华文楷体" w:eastAsia="仿宋_GB2312" w:cs="宋体"/>
                <w:sz w:val="24"/>
              </w:rPr>
            </w:pPr>
            <w:r>
              <w:rPr>
                <w:rFonts w:hint="eastAsia" w:ascii="仿宋_GB2312" w:hAnsi="华文楷体" w:eastAsia="仿宋_GB2312" w:cs="宋体"/>
                <w:sz w:val="24"/>
              </w:rPr>
              <w:t>3.对于未获得工程技术人员职称的，其学历证应是与许可规则相适应的专业（必要时学历证书应由学信网验证，或者其他有效证明），并提供其从事机动车辆技术工作年限的有效见证材料，学历和从事机动车辆技术工作年限应至少符合下表要求，并经生产单位聘用，可等同为相对应职称：</w:t>
            </w:r>
          </w:p>
          <w:tbl>
            <w:tblPr>
              <w:tblStyle w:val="5"/>
              <w:tblW w:w="8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1276"/>
              <w:gridCol w:w="1559"/>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职称</w:t>
                  </w:r>
                </w:p>
              </w:tc>
              <w:tc>
                <w:tcPr>
                  <w:tcW w:w="1418" w:type="dxa"/>
                  <w:vAlign w:val="center"/>
                </w:tcPr>
                <w:p>
                  <w:pPr>
                    <w:contextualSpacing/>
                    <w:jc w:val="center"/>
                    <w:rPr>
                      <w:rFonts w:ascii="仿宋_GB2312" w:eastAsia="仿宋_GB2312"/>
                      <w:sz w:val="24"/>
                    </w:rPr>
                  </w:pPr>
                  <w:r>
                    <w:rPr>
                      <w:rFonts w:hint="eastAsia" w:ascii="仿宋_GB2312" w:eastAsia="仿宋_GB2312"/>
                      <w:sz w:val="24"/>
                    </w:rPr>
                    <w:t>博士</w:t>
                  </w:r>
                </w:p>
              </w:tc>
              <w:tc>
                <w:tcPr>
                  <w:tcW w:w="1276" w:type="dxa"/>
                  <w:vAlign w:val="center"/>
                </w:tcPr>
                <w:p>
                  <w:pPr>
                    <w:contextualSpacing/>
                    <w:jc w:val="center"/>
                    <w:rPr>
                      <w:rFonts w:ascii="仿宋_GB2312" w:eastAsia="仿宋_GB2312"/>
                      <w:sz w:val="24"/>
                    </w:rPr>
                  </w:pPr>
                  <w:r>
                    <w:rPr>
                      <w:rFonts w:hint="eastAsia" w:ascii="仿宋_GB2312" w:eastAsia="仿宋_GB2312"/>
                      <w:sz w:val="24"/>
                    </w:rPr>
                    <w:t>硕士</w:t>
                  </w:r>
                </w:p>
              </w:tc>
              <w:tc>
                <w:tcPr>
                  <w:tcW w:w="1559" w:type="dxa"/>
                  <w:vAlign w:val="center"/>
                </w:tcPr>
                <w:p>
                  <w:pPr>
                    <w:contextualSpacing/>
                    <w:jc w:val="center"/>
                    <w:rPr>
                      <w:rFonts w:ascii="仿宋_GB2312" w:eastAsia="仿宋_GB2312"/>
                      <w:sz w:val="24"/>
                    </w:rPr>
                  </w:pPr>
                  <w:r>
                    <w:rPr>
                      <w:rFonts w:hint="eastAsia" w:ascii="仿宋_GB2312" w:eastAsia="仿宋_GB2312"/>
                      <w:sz w:val="24"/>
                    </w:rPr>
                    <w:t>本科</w:t>
                  </w:r>
                </w:p>
              </w:tc>
              <w:tc>
                <w:tcPr>
                  <w:tcW w:w="2292" w:type="dxa"/>
                  <w:vAlign w:val="center"/>
                </w:tcPr>
                <w:p>
                  <w:pPr>
                    <w:contextualSpacing/>
                    <w:jc w:val="center"/>
                    <w:rPr>
                      <w:rFonts w:ascii="仿宋_GB2312" w:eastAsia="仿宋_GB2312"/>
                      <w:sz w:val="24"/>
                    </w:rPr>
                  </w:pPr>
                  <w:r>
                    <w:rPr>
                      <w:rFonts w:hint="eastAsia" w:ascii="仿宋_GB2312" w:eastAsia="仿宋_GB2312"/>
                      <w:sz w:val="24"/>
                    </w:rPr>
                    <w:t>大专（中专）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高级工程师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4年</w:t>
                  </w:r>
                </w:p>
              </w:tc>
              <w:tc>
                <w:tcPr>
                  <w:tcW w:w="1276" w:type="dxa"/>
                  <w:vAlign w:val="center"/>
                </w:tcPr>
                <w:p>
                  <w:pPr>
                    <w:contextualSpacing/>
                    <w:jc w:val="center"/>
                    <w:rPr>
                      <w:rFonts w:ascii="仿宋_GB2312" w:eastAsia="仿宋_GB2312"/>
                      <w:sz w:val="24"/>
                    </w:rPr>
                  </w:pPr>
                  <w:r>
                    <w:rPr>
                      <w:rFonts w:hint="eastAsia" w:ascii="仿宋_GB2312" w:eastAsia="仿宋_GB2312"/>
                      <w:sz w:val="24"/>
                    </w:rPr>
                    <w:t>10年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13年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1年</w:t>
                  </w:r>
                </w:p>
              </w:tc>
              <w:tc>
                <w:tcPr>
                  <w:tcW w:w="1276" w:type="dxa"/>
                  <w:vAlign w:val="center"/>
                </w:tcPr>
                <w:p>
                  <w:pPr>
                    <w:contextualSpacing/>
                    <w:jc w:val="center"/>
                    <w:rPr>
                      <w:rFonts w:ascii="仿宋_GB2312" w:eastAsia="仿宋_GB2312"/>
                      <w:sz w:val="24"/>
                    </w:rPr>
                  </w:pPr>
                  <w:r>
                    <w:rPr>
                      <w:rFonts w:hint="eastAsia" w:ascii="仿宋_GB2312" w:eastAsia="仿宋_GB2312"/>
                      <w:sz w:val="24"/>
                    </w:rPr>
                    <w:t>4年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7年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助理工程师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w:t>
                  </w:r>
                </w:p>
              </w:tc>
              <w:tc>
                <w:tcPr>
                  <w:tcW w:w="1276" w:type="dxa"/>
                  <w:vAlign w:val="center"/>
                </w:tcPr>
                <w:p>
                  <w:pPr>
                    <w:contextualSpacing/>
                    <w:jc w:val="center"/>
                    <w:rPr>
                      <w:rFonts w:ascii="仿宋_GB2312" w:eastAsia="仿宋_GB2312"/>
                      <w:sz w:val="24"/>
                    </w:rPr>
                  </w:pPr>
                  <w:r>
                    <w:rPr>
                      <w:rFonts w:hint="eastAsia" w:ascii="仿宋_GB2312" w:eastAsia="仿宋_GB2312"/>
                      <w:sz w:val="24"/>
                    </w:rPr>
                    <w:t>1年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2年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3年</w:t>
                  </w:r>
                </w:p>
              </w:tc>
            </w:tr>
          </w:tbl>
          <w:p>
            <w:pPr>
              <w:jc w:val="left"/>
              <w:rPr>
                <w:rFonts w:ascii="仿宋_GB2312" w:hAnsi="华文楷体" w:eastAsia="仿宋_GB2312" w:cs="宋体"/>
                <w:sz w:val="24"/>
              </w:rPr>
            </w:pPr>
            <w:r>
              <w:rPr>
                <w:rFonts w:hint="eastAsia" w:ascii="仿宋_GB2312" w:hAnsi="宋体" w:eastAsia="仿宋_GB2312" w:cs="Arial"/>
                <w:sz w:val="24"/>
              </w:rPr>
              <w:t>4.</w:t>
            </w:r>
            <w:r>
              <w:rPr>
                <w:rFonts w:hint="eastAsia" w:ascii="仿宋_GB2312" w:hAnsi="华文楷体" w:eastAsia="仿宋_GB2312" w:cs="宋体"/>
                <w:sz w:val="24"/>
              </w:rPr>
              <w:t>作业人员：在“全国特种设备公示信息查询平台”上核查相关作业人员信息。</w:t>
            </w:r>
          </w:p>
          <w:p>
            <w:pPr>
              <w:jc w:val="left"/>
              <w:rPr>
                <w:rFonts w:ascii="仿宋_GB2312" w:hAnsi="华文楷体" w:eastAsia="仿宋_GB2312" w:cs="宋体"/>
                <w:sz w:val="24"/>
              </w:rPr>
            </w:pPr>
            <w:r>
              <w:rPr>
                <w:rFonts w:hint="eastAsia" w:ascii="仿宋_GB2312" w:hAnsi="华文楷体" w:eastAsia="仿宋_GB2312" w:cs="宋体"/>
                <w:sz w:val="24"/>
              </w:rPr>
              <w:t>5.高级技师和技师分别相当于工程师和助理工程师。</w:t>
            </w:r>
          </w:p>
          <w:p>
            <w:pPr>
              <w:jc w:val="left"/>
              <w:rPr>
                <w:rFonts w:ascii="宋体" w:hAnsi="宋体" w:eastAsia="宋体"/>
                <w:sz w:val="24"/>
                <w:szCs w:val="24"/>
              </w:rPr>
            </w:pPr>
            <w:r>
              <w:rPr>
                <w:rFonts w:hint="eastAsia" w:ascii="仿宋_GB2312" w:hAnsi="华文楷体" w:eastAsia="仿宋_GB2312" w:cs="宋体"/>
                <w:sz w:val="24"/>
              </w:rPr>
              <w:t>6.任命的技术负责人、质量保证体系人员、技术人员、项目负责人中的退休人员年龄不应超过70岁，且不超过</w:t>
            </w:r>
            <w:r>
              <w:rPr>
                <w:rFonts w:ascii="仿宋_GB2312" w:hAnsi="华文楷体" w:eastAsia="仿宋_GB2312" w:cs="宋体"/>
                <w:sz w:val="24"/>
              </w:rPr>
              <w:t>2</w:t>
            </w:r>
            <w:r>
              <w:rPr>
                <w:rFonts w:hint="eastAsia" w:ascii="仿宋_GB2312" w:hAnsi="华文楷体" w:eastAsia="仿宋_GB2312"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技术负责人</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应当任命技术负责人，全面负责本单位场（厂）内专用机动车辆修理活动中的技术工作。</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hint="eastAsia" w:ascii="宋体" w:hAnsi="宋体" w:eastAsia="宋体"/>
                <w:sz w:val="24"/>
                <w:szCs w:val="24"/>
              </w:rPr>
            </w:pPr>
            <w:r>
              <w:rPr>
                <w:rFonts w:hint="eastAsia" w:ascii="宋体" w:hAnsi="宋体" w:eastAsia="宋体"/>
                <w:sz w:val="24"/>
                <w:szCs w:val="24"/>
              </w:rPr>
              <w:t>§L</w:t>
            </w:r>
            <w:r>
              <w:rPr>
                <w:rFonts w:ascii="宋体" w:hAnsi="宋体" w:eastAsia="宋体"/>
                <w:sz w:val="24"/>
                <w:szCs w:val="24"/>
              </w:rPr>
              <w:t>1.1</w:t>
            </w:r>
            <w:r>
              <w:rPr>
                <w:rFonts w:hint="eastAsia" w:ascii="宋体" w:hAnsi="宋体" w:eastAsia="宋体"/>
                <w:sz w:val="24"/>
                <w:szCs w:val="24"/>
              </w:rPr>
              <w:t>（1）</w:t>
            </w:r>
          </w:p>
        </w:tc>
        <w:tc>
          <w:tcPr>
            <w:tcW w:w="2835" w:type="dxa"/>
            <w:vAlign w:val="center"/>
          </w:tcPr>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与技术负责人进行交谈，确认其专业知识水平和实际能力是否满足其岗位职责要求，核查职称证、学历证、工作经历见证材料、任命书等。并查阅工资表（必要时）、身份证、劳动合同、相关保险证明等档案资料。</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质量保证工程师</w:t>
            </w:r>
          </w:p>
          <w:p>
            <w:pPr>
              <w:ind w:firstLine="480" w:firstLineChars="200"/>
              <w:jc w:val="left"/>
              <w:rPr>
                <w:rFonts w:ascii="仿宋_GB2312" w:hAnsi="仿宋" w:eastAsia="仿宋_GB2312" w:cs="仿宋_GB2312"/>
                <w:sz w:val="24"/>
              </w:rPr>
            </w:pPr>
            <w:r>
              <w:rPr>
                <w:rFonts w:hint="eastAsia" w:ascii="仿宋_GB2312" w:hAnsi="宋体" w:eastAsia="仿宋_GB2312"/>
                <w:sz w:val="24"/>
                <w:szCs w:val="24"/>
              </w:rPr>
              <w:t>应当在其管理层中任命 1 名质量保证工程师，并且具有工程师职称和与许可项目相关的技术工作经历。</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3.1.1.1</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3.2.1.1</w:t>
            </w:r>
          </w:p>
        </w:tc>
        <w:tc>
          <w:tcPr>
            <w:tcW w:w="2835" w:type="dxa"/>
            <w:vAlign w:val="center"/>
          </w:tcPr>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与质量保证工程师进行交谈，确认其专业知识水平和实际能力是否符合规定，核查职称证、学历证、工作经历见证材料、任命书等。并查阅工资表（必要时）、身份证、劳动合同、相关保险证明等档案资料。</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质量控制系统责任人员</w:t>
            </w:r>
          </w:p>
          <w:p>
            <w:pPr>
              <w:autoSpaceDE w:val="0"/>
              <w:autoSpaceDN w:val="0"/>
              <w:adjustRightInd w:val="0"/>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根据其许可项目，</w:t>
            </w:r>
            <w:r>
              <w:rPr>
                <w:rFonts w:hint="eastAsia" w:ascii="仿宋_GB2312" w:hAnsi="仿宋" w:eastAsia="仿宋_GB2312"/>
                <w:sz w:val="24"/>
              </w:rPr>
              <w:t>根据其许可项目，配备并任命工艺、材料与 零部件、产品检验和装配调试等质量控制系统责任人员。</w:t>
            </w:r>
          </w:p>
          <w:p>
            <w:pPr>
              <w:autoSpaceDE w:val="0"/>
              <w:autoSpaceDN w:val="0"/>
              <w:adjustRightInd w:val="0"/>
              <w:ind w:firstLine="480" w:firstLineChars="200"/>
              <w:jc w:val="left"/>
              <w:rPr>
                <w:rFonts w:ascii="仿宋_GB2312" w:hAnsi="仿宋_GB2312" w:eastAsia="仿宋_GB2312" w:cs="仿宋_GB2312"/>
                <w:sz w:val="24"/>
              </w:rPr>
            </w:pPr>
          </w:p>
          <w:p>
            <w:pPr>
              <w:autoSpaceDE w:val="0"/>
              <w:autoSpaceDN w:val="0"/>
              <w:adjustRightInd w:val="0"/>
              <w:ind w:firstLine="480" w:firstLineChars="200"/>
              <w:jc w:val="left"/>
              <w:rPr>
                <w:rFonts w:ascii="仿宋_GB2312" w:hAnsi="宋体" w:eastAsia="仿宋_GB2312"/>
                <w:sz w:val="24"/>
                <w:szCs w:val="24"/>
              </w:rPr>
            </w:pP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hint="eastAsia" w:ascii="宋体" w:hAnsi="宋体" w:eastAsia="宋体"/>
                <w:sz w:val="24"/>
                <w:szCs w:val="24"/>
              </w:rPr>
            </w:pPr>
            <w:r>
              <w:rPr>
                <w:rFonts w:hint="eastAsia" w:ascii="宋体" w:hAnsi="宋体" w:eastAsia="宋体"/>
                <w:sz w:val="24"/>
                <w:szCs w:val="24"/>
              </w:rPr>
              <w:t>§L</w:t>
            </w: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tc>
        <w:tc>
          <w:tcPr>
            <w:tcW w:w="2835" w:type="dxa"/>
            <w:vAlign w:val="center"/>
          </w:tcPr>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与质量保证体系人员进行交谈，确认其专业知识水平和实际能力是否符合规定，核查职称证、学历证、工作经历见证材料、任命书等。并查阅工资表（必要时）、身份证、劳动合同、相关保险证明等档案资料。</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技术人员（除技术负责人、质量保证体系人员外）</w:t>
            </w:r>
          </w:p>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 w:eastAsia="仿宋_GB2312"/>
                <w:sz w:val="24"/>
              </w:rPr>
              <w:t>应具</w:t>
            </w:r>
            <w:r>
              <w:rPr>
                <w:rFonts w:hint="eastAsia" w:ascii="仿宋_GB2312" w:hAnsi="仿宋" w:eastAsia="仿宋_GB2312"/>
                <w:color w:val="000000"/>
                <w:sz w:val="24"/>
              </w:rPr>
              <w:t>有机械、电气专业技术人员至少各3人</w:t>
            </w:r>
            <w:r>
              <w:rPr>
                <w:rFonts w:hint="eastAsia" w:ascii="仿宋_GB2312" w:hAnsi="仿宋_GB2312" w:eastAsia="仿宋_GB2312" w:cs="仿宋_GB2312"/>
                <w:bCs/>
                <w:sz w:val="24"/>
              </w:rPr>
              <w:t>。</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3.1.1.2</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3.2.1.2</w:t>
            </w:r>
          </w:p>
        </w:tc>
        <w:tc>
          <w:tcPr>
            <w:tcW w:w="2835" w:type="dxa"/>
            <w:vAlign w:val="center"/>
          </w:tcPr>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与部分技术人员进行交谈，确认其专业知识水平和实际能力是否符合规定，核查职称证、学历证、工作经历见证材料等。并查阅工资表（必要时）、劳动合同、相关保险证明等档案资料，必要时核查身份证。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检验人员</w:t>
            </w:r>
          </w:p>
          <w:p>
            <w:pPr>
              <w:autoSpaceDE w:val="0"/>
              <w:autoSpaceDN w:val="0"/>
              <w:adjustRightInd w:val="0"/>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机动工业车辆(叉车)：质量检验人员不少于2人；</w:t>
            </w:r>
          </w:p>
          <w:p>
            <w:pPr>
              <w:autoSpaceDE w:val="0"/>
              <w:autoSpaceDN w:val="0"/>
              <w:adjustRightInd w:val="0"/>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非公路用旅游观光车辆(观光车、观光列车)：质量检验人员不少于2人，其中持有相应无损检测资格证的人员至少1人。</w:t>
            </w:r>
          </w:p>
          <w:p>
            <w:pPr>
              <w:autoSpaceDE w:val="0"/>
              <w:autoSpaceDN w:val="0"/>
              <w:adjustRightInd w:val="0"/>
              <w:ind w:firstLine="480" w:firstLineChars="200"/>
              <w:jc w:val="left"/>
              <w:rPr>
                <w:rFonts w:ascii="仿宋_GB2312" w:hAnsi="仿宋" w:eastAsia="仿宋_GB2312"/>
                <w:color w:val="000000"/>
                <w:sz w:val="24"/>
              </w:rPr>
            </w:pPr>
          </w:p>
          <w:p>
            <w:pPr>
              <w:autoSpaceDE w:val="0"/>
              <w:autoSpaceDN w:val="0"/>
              <w:adjustRightInd w:val="0"/>
              <w:ind w:firstLine="480" w:firstLineChars="200"/>
              <w:jc w:val="left"/>
              <w:rPr>
                <w:rFonts w:ascii="仿宋_GB2312" w:hAnsi="仿宋" w:eastAsia="仿宋_GB2312"/>
                <w:color w:val="000000"/>
                <w:sz w:val="24"/>
              </w:rPr>
            </w:pPr>
          </w:p>
          <w:p>
            <w:pPr>
              <w:autoSpaceDE w:val="0"/>
              <w:autoSpaceDN w:val="0"/>
              <w:adjustRightInd w:val="0"/>
              <w:ind w:firstLine="480" w:firstLineChars="200"/>
              <w:jc w:val="left"/>
              <w:rPr>
                <w:rFonts w:hint="eastAsia" w:ascii="仿宋_GB2312" w:hAnsi="仿宋" w:eastAsia="仿宋_GB2312" w:cs="仿宋_GB2312"/>
                <w:sz w:val="24"/>
              </w:rPr>
            </w:pP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3.1.1.3</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3.2.1.3</w:t>
            </w:r>
          </w:p>
        </w:tc>
        <w:tc>
          <w:tcPr>
            <w:tcW w:w="2835" w:type="dxa"/>
            <w:vAlign w:val="center"/>
          </w:tcPr>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现场抽查1台修理档案，确认修理过程自检记录中的检验人员是否符合任职要求，并与检验人员进行交谈，确认其专业知识水平和实际能力是否符合规定。</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作业人员</w:t>
            </w:r>
          </w:p>
          <w:p>
            <w:pPr>
              <w:autoSpaceDE w:val="0"/>
              <w:autoSpaceDN w:val="0"/>
              <w:adjustRightInd w:val="0"/>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机动工业车辆(叉车)：修理人员不少于6名、焊工不少于2名；</w:t>
            </w:r>
          </w:p>
          <w:p>
            <w:pPr>
              <w:autoSpaceDE w:val="0"/>
              <w:autoSpaceDN w:val="0"/>
              <w:adjustRightInd w:val="0"/>
              <w:ind w:firstLine="480" w:firstLineChars="200"/>
              <w:jc w:val="left"/>
              <w:rPr>
                <w:rFonts w:ascii="仿宋_GB2312" w:hAnsi="仿宋_GB2312" w:eastAsia="仿宋_GB2312" w:cs="仿宋_GB2312"/>
                <w:sz w:val="24"/>
              </w:rPr>
            </w:pPr>
            <w:r>
              <w:rPr>
                <w:rFonts w:hint="eastAsia" w:ascii="仿宋_GB2312" w:hAnsi="仿宋" w:eastAsia="仿宋_GB2312"/>
                <w:color w:val="000000"/>
                <w:sz w:val="24"/>
              </w:rPr>
              <w:t>非公路用旅游观光车辆(观光车、观光列车)：修理人员不少于6名、焊工不少于2名，电工不少于2名。</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3.1.1.4</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3.2.1.4</w:t>
            </w:r>
          </w:p>
        </w:tc>
        <w:tc>
          <w:tcPr>
            <w:tcW w:w="2835" w:type="dxa"/>
            <w:vAlign w:val="center"/>
          </w:tcPr>
          <w:p>
            <w:pPr>
              <w:autoSpaceDE w:val="0"/>
              <w:autoSpaceDN w:val="0"/>
              <w:adjustRightInd w:val="0"/>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核实相关作业资格证书的人员人数。</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p>
            <w:pPr>
              <w:jc w:val="center"/>
              <w:rPr>
                <w:rFonts w:ascii="仿宋_GB2312" w:hAnsi="宋体" w:eastAsia="仿宋_GB2312"/>
                <w:sz w:val="24"/>
                <w:szCs w:val="24"/>
              </w:rPr>
            </w:pPr>
            <w:r>
              <w:rPr>
                <w:rFonts w:hint="eastAsia" w:ascii="仿宋_GB2312" w:hAnsi="宋体" w:eastAsia="仿宋_GB2312"/>
                <w:sz w:val="24"/>
                <w:szCs w:val="24"/>
              </w:rPr>
              <w:t>第八十六条（一）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工作场所</w:t>
            </w:r>
          </w:p>
        </w:tc>
        <w:tc>
          <w:tcPr>
            <w:tcW w:w="4111" w:type="dxa"/>
            <w:vAlign w:val="center"/>
          </w:tcPr>
          <w:p>
            <w:pPr>
              <w:ind w:firstLine="480" w:firstLineChars="200"/>
              <w:contextualSpacing/>
              <w:jc w:val="left"/>
              <w:rPr>
                <w:rFonts w:ascii="仿宋_GB2312" w:hAnsi="仿宋" w:eastAsia="仿宋_GB2312" w:cs="Arial"/>
                <w:sz w:val="24"/>
              </w:rPr>
            </w:pPr>
            <w:r>
              <w:rPr>
                <w:rFonts w:hint="eastAsia" w:ascii="仿宋_GB2312" w:hAnsi="仿宋" w:eastAsia="仿宋_GB2312"/>
                <w:sz w:val="24"/>
              </w:rPr>
              <w:t>具有固定的办公场所；修理车间面积不少于300m</w:t>
            </w:r>
            <w:r>
              <w:rPr>
                <w:rFonts w:hint="eastAsia" w:ascii="仿宋_GB2312" w:hAnsi="仿宋" w:eastAsia="仿宋_GB2312"/>
                <w:sz w:val="24"/>
                <w:vertAlign w:val="superscript"/>
              </w:rPr>
              <w:t>2</w:t>
            </w:r>
            <w:r>
              <w:rPr>
                <w:rFonts w:hint="eastAsia" w:ascii="仿宋_GB2312" w:hAnsi="仿宋" w:eastAsia="仿宋_GB2312"/>
                <w:sz w:val="24"/>
              </w:rPr>
              <w:t>。</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3.1.2</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3.2.2</w:t>
            </w:r>
          </w:p>
        </w:tc>
        <w:tc>
          <w:tcPr>
            <w:tcW w:w="2835" w:type="dxa"/>
            <w:vAlign w:val="center"/>
          </w:tcPr>
          <w:p>
            <w:pPr>
              <w:autoSpaceDE w:val="0"/>
              <w:autoSpaceDN w:val="0"/>
              <w:adjustRightInd w:val="0"/>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（1）租赁场所：核查办公场地租赁合同（租赁期限应自评审之日起四年以上）、出租房产权证明。</w:t>
            </w:r>
          </w:p>
          <w:p>
            <w:pPr>
              <w:autoSpaceDE w:val="0"/>
              <w:autoSpaceDN w:val="0"/>
              <w:adjustRightInd w:val="0"/>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（2）自有场所：核查产权证明。</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修理设备</w:t>
            </w:r>
          </w:p>
        </w:tc>
        <w:tc>
          <w:tcPr>
            <w:tcW w:w="4111" w:type="dxa"/>
            <w:vAlign w:val="center"/>
          </w:tcPr>
          <w:p>
            <w:pPr>
              <w:ind w:firstLine="480" w:firstLineChars="200"/>
              <w:contextualSpacing/>
              <w:jc w:val="left"/>
              <w:rPr>
                <w:rFonts w:hint="eastAsia" w:ascii="仿宋_GB2312" w:hAnsi="仿宋" w:eastAsia="仿宋_GB2312"/>
                <w:sz w:val="24"/>
              </w:rPr>
            </w:pPr>
            <w:r>
              <w:rPr>
                <w:rFonts w:hint="eastAsia" w:ascii="仿宋_GB2312" w:hAnsi="仿宋" w:eastAsia="仿宋_GB2312"/>
                <w:sz w:val="24"/>
              </w:rPr>
              <w:t>机动工业车辆(叉车)：修理用地沟或者举升设备、焊接设备、切割设备、千斤顶、充电机、轮胎专用拆装工具、空气压缩机、吊装设备、燃油系统清洗设备、润滑系统清洗设备、喷油器清洗设备；</w:t>
            </w:r>
          </w:p>
          <w:p>
            <w:pPr>
              <w:adjustRightInd w:val="0"/>
              <w:snapToGrid w:val="0"/>
              <w:ind w:firstLine="480" w:firstLineChars="200"/>
              <w:jc w:val="left"/>
              <w:rPr>
                <w:rFonts w:ascii="仿宋_GB2312" w:hAnsi="仿宋" w:eastAsia="仿宋_GB2312"/>
                <w:sz w:val="24"/>
              </w:rPr>
            </w:pPr>
            <w:r>
              <w:rPr>
                <w:rFonts w:hint="eastAsia" w:ascii="仿宋_GB2312" w:hAnsi="仿宋" w:eastAsia="仿宋_GB2312"/>
                <w:sz w:val="24"/>
              </w:rPr>
              <w:t>非公路用旅游观光车辆(观光车、观光列车)：修理用地沟或者举升设备、控制系统编程器、焊接设备、切割设备、千斤顶、充电机、轮胎专用拆装工具、空气压缩机、吊装设备、燃油系统清洗设备、润滑系统清洗设备、喷油器清洗设备。</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3.1.3</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3.2.3</w:t>
            </w:r>
          </w:p>
        </w:tc>
        <w:tc>
          <w:tcPr>
            <w:tcW w:w="2835" w:type="dxa"/>
            <w:vAlign w:val="center"/>
          </w:tcPr>
          <w:p>
            <w:pPr>
              <w:adjustRightInd w:val="0"/>
              <w:snapToGrid w:val="0"/>
              <w:ind w:firstLine="480" w:firstLineChars="200"/>
              <w:jc w:val="left"/>
              <w:rPr>
                <w:rFonts w:ascii="仿宋_GB2312" w:hAnsi="仿宋" w:eastAsia="仿宋_GB2312" w:cs="Arial"/>
                <w:sz w:val="24"/>
              </w:rPr>
            </w:pPr>
            <w:r>
              <w:rPr>
                <w:rFonts w:hint="eastAsia" w:ascii="仿宋_GB2312" w:hAnsi="仿宋_GB2312" w:eastAsia="仿宋_GB2312" w:cs="仿宋_GB2312"/>
                <w:sz w:val="24"/>
              </w:rPr>
              <w:t>查阅</w:t>
            </w:r>
            <w:r>
              <w:rPr>
                <w:rFonts w:hint="eastAsia" w:ascii="仿宋_GB2312" w:hAnsi="仿宋_GB2312" w:eastAsia="仿宋_GB2312" w:cs="仿宋_GB2312"/>
                <w:bCs/>
                <w:sz w:val="24"/>
              </w:rPr>
              <w:t>修理设备台账，核查设备实物。</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检测仪器</w:t>
            </w:r>
          </w:p>
        </w:tc>
        <w:tc>
          <w:tcPr>
            <w:tcW w:w="4111" w:type="dxa"/>
            <w:vAlign w:val="center"/>
          </w:tcPr>
          <w:p>
            <w:pPr>
              <w:adjustRightInd w:val="0"/>
              <w:snapToGrid w:val="0"/>
              <w:ind w:firstLine="480" w:firstLineChars="200"/>
              <w:jc w:val="left"/>
              <w:rPr>
                <w:rFonts w:hint="eastAsia" w:ascii="仿宋_GB2312" w:hAnsi="仿宋" w:eastAsia="仿宋_GB2312"/>
                <w:sz w:val="24"/>
              </w:rPr>
            </w:pPr>
            <w:r>
              <w:rPr>
                <w:rFonts w:hint="eastAsia" w:ascii="仿宋_GB2312" w:hAnsi="仿宋" w:eastAsia="仿宋_GB2312"/>
                <w:sz w:val="24"/>
              </w:rPr>
              <w:t>机动工业车辆(叉车)：噪声检测装置、制动性能测试装置、转向操纵力测试装置、万用表、踏板力计、手刹力计、气缸压力表、绝缘电阻测试仪、电喷车故障诊断仪、液压系统压力测试装置、磁粉检测仪(外委时不作要求)；</w:t>
            </w:r>
          </w:p>
          <w:p>
            <w:pPr>
              <w:adjustRightInd w:val="0"/>
              <w:snapToGrid w:val="0"/>
              <w:ind w:firstLine="480" w:firstLineChars="200"/>
              <w:jc w:val="left"/>
              <w:rPr>
                <w:rFonts w:ascii="仿宋_GB2312" w:hAnsi="仿宋" w:eastAsia="仿宋_GB2312"/>
                <w:sz w:val="24"/>
              </w:rPr>
            </w:pPr>
            <w:r>
              <w:rPr>
                <w:rFonts w:hint="eastAsia" w:ascii="仿宋_GB2312" w:hAnsi="仿宋" w:eastAsia="仿宋_GB2312"/>
                <w:sz w:val="24"/>
              </w:rPr>
              <w:t>公路用旅游观光车辆(观光车、观光列车)：噪声检测装置、制动性能测试装置、转向操纵力测试装置、万用表、踏板力计、手刹力计、气缸压力表、绝缘电阻测试仪、电喷车故障诊断仪、磁粉检测仪(外委时不作要求)。</w:t>
            </w:r>
          </w:p>
          <w:p>
            <w:pPr>
              <w:adjustRightInd w:val="0"/>
              <w:snapToGrid w:val="0"/>
              <w:ind w:firstLine="480" w:firstLineChars="200"/>
              <w:jc w:val="left"/>
              <w:rPr>
                <w:rFonts w:ascii="仿宋_GB2312" w:hAnsi="仿宋" w:eastAsia="仿宋_GB2312"/>
                <w:sz w:val="24"/>
              </w:rPr>
            </w:pPr>
          </w:p>
          <w:p>
            <w:pPr>
              <w:adjustRightInd w:val="0"/>
              <w:snapToGrid w:val="0"/>
              <w:ind w:firstLine="480" w:firstLineChars="200"/>
              <w:jc w:val="left"/>
              <w:rPr>
                <w:rFonts w:ascii="仿宋_GB2312" w:hAnsi="仿宋" w:eastAsia="仿宋_GB2312"/>
                <w:sz w:val="24"/>
              </w:rPr>
            </w:pPr>
          </w:p>
          <w:p>
            <w:pPr>
              <w:adjustRightInd w:val="0"/>
              <w:snapToGrid w:val="0"/>
              <w:ind w:firstLine="480" w:firstLineChars="200"/>
              <w:jc w:val="left"/>
              <w:rPr>
                <w:rFonts w:ascii="仿宋_GB2312" w:hAnsi="仿宋" w:eastAsia="仿宋_GB2312"/>
                <w:sz w:val="24"/>
              </w:rPr>
            </w:pPr>
          </w:p>
          <w:p>
            <w:pPr>
              <w:adjustRightInd w:val="0"/>
              <w:snapToGrid w:val="0"/>
              <w:ind w:firstLine="480" w:firstLineChars="200"/>
              <w:jc w:val="left"/>
              <w:rPr>
                <w:rFonts w:ascii="仿宋_GB2312" w:hAnsi="仿宋" w:eastAsia="仿宋_GB2312"/>
                <w:sz w:val="24"/>
              </w:rPr>
            </w:pPr>
          </w:p>
          <w:p>
            <w:pPr>
              <w:adjustRightInd w:val="0"/>
              <w:snapToGrid w:val="0"/>
              <w:ind w:firstLine="480" w:firstLineChars="200"/>
              <w:jc w:val="left"/>
              <w:rPr>
                <w:rFonts w:ascii="仿宋_GB2312" w:hAnsi="仿宋" w:eastAsia="仿宋_GB2312"/>
                <w:sz w:val="24"/>
              </w:rPr>
            </w:pPr>
          </w:p>
          <w:p>
            <w:pPr>
              <w:adjustRightInd w:val="0"/>
              <w:snapToGrid w:val="0"/>
              <w:ind w:firstLine="480" w:firstLineChars="200"/>
              <w:jc w:val="left"/>
              <w:rPr>
                <w:rFonts w:hint="eastAsia" w:ascii="仿宋_GB2312" w:hAnsi="仿宋" w:eastAsia="仿宋_GB2312" w:cs="Arial"/>
                <w:sz w:val="24"/>
              </w:rPr>
            </w:pP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3.1.4</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3.2.4</w:t>
            </w:r>
          </w:p>
        </w:tc>
        <w:tc>
          <w:tcPr>
            <w:tcW w:w="2835" w:type="dxa"/>
            <w:vAlign w:val="center"/>
          </w:tcPr>
          <w:p>
            <w:pPr>
              <w:adjustRightInd w:val="0"/>
              <w:snapToGrid w:val="0"/>
              <w:ind w:firstLine="480" w:firstLineChars="200"/>
              <w:jc w:val="left"/>
              <w:rPr>
                <w:rFonts w:ascii="仿宋_GB2312" w:hAnsi="仿宋" w:eastAsia="仿宋_GB2312" w:cs="Arial"/>
                <w:sz w:val="24"/>
              </w:rPr>
            </w:pPr>
            <w:r>
              <w:rPr>
                <w:rFonts w:hint="eastAsia" w:ascii="仿宋_GB2312" w:hAnsi="仿宋_GB2312" w:eastAsia="仿宋_GB2312" w:cs="仿宋_GB2312"/>
                <w:sz w:val="24"/>
              </w:rPr>
              <w:t>查阅检测仪器台账，核查仪器实物，外委时核查外委协议等。</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668" w:type="dxa"/>
            <w:gridSpan w:val="7"/>
            <w:vAlign w:val="center"/>
          </w:tcPr>
          <w:p>
            <w:pPr>
              <w:jc w:val="left"/>
              <w:rPr>
                <w:rFonts w:ascii="宋体" w:hAnsi="宋体" w:eastAsia="宋体"/>
                <w:sz w:val="24"/>
                <w:szCs w:val="24"/>
              </w:rPr>
            </w:pPr>
            <w:r>
              <w:rPr>
                <w:rFonts w:hint="eastAsia" w:ascii="宋体" w:hAnsi="宋体" w:eastAsia="宋体"/>
                <w:b/>
                <w:sz w:val="24"/>
                <w:szCs w:val="24"/>
              </w:rPr>
              <w:t>二、质量保证体系运行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文件记录控制</w:t>
            </w:r>
          </w:p>
        </w:tc>
        <w:tc>
          <w:tcPr>
            <w:tcW w:w="4111"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1)受控文件类别的确定，至少包括质量保证体系文件、外来文件，以及其他需要控制的文件；(2)文件管理，包括编制、审核、批准、标识、发放、修改、回收及其销毁的规定；其中外来文件控制还应当有收集(购买)、接收等规定；(3)质量保证体系相关部门、人员及场所使用的受控文件为有效版本的规定。受控文件的类别确定、发放使用、销毁，应当由相应质量控制系统责任人员审查确认，做出记录。外来文件包括法律、法规、安全技术规范及相关标准、外来设计文件，监督检验报告，受委托单位产品质量证明文件、资格证明文件等，其中法律、法规、安全技术规范及相关标准应当是合法出版的正式版本。(</w:t>
            </w:r>
            <w:r>
              <w:rPr>
                <w:rFonts w:ascii="仿宋_GB2312" w:hAnsi="宋体" w:eastAsia="仿宋_GB2312" w:cs="仿宋_GB2312"/>
                <w:bCs/>
                <w:sz w:val="24"/>
              </w:rPr>
              <w:t>4</w:t>
            </w:r>
            <w:r>
              <w:rPr>
                <w:rFonts w:hint="eastAsia" w:ascii="仿宋_GB2312" w:hAnsi="宋体" w:eastAsia="仿宋_GB2312" w:cs="仿宋_GB2312"/>
                <w:bCs/>
                <w:sz w:val="24"/>
              </w:rPr>
              <w:t>)起重机械安装过程形成的记录的填写、确认、收集、归档、保管与保存期限、销毁的规定等；(</w:t>
            </w:r>
            <w:r>
              <w:rPr>
                <w:rFonts w:ascii="仿宋_GB2312" w:hAnsi="宋体" w:eastAsia="仿宋_GB2312" w:cs="仿宋_GB2312"/>
                <w:bCs/>
                <w:sz w:val="24"/>
              </w:rPr>
              <w:t>5</w:t>
            </w:r>
            <w:r>
              <w:rPr>
                <w:rFonts w:hint="eastAsia" w:ascii="仿宋_GB2312" w:hAnsi="宋体" w:eastAsia="仿宋_GB2312" w:cs="仿宋_GB2312"/>
                <w:bCs/>
                <w:sz w:val="24"/>
              </w:rPr>
              <w:t>)质量保证体系实施部门、人员及场所使用相关受控记录表格有效版本的规定。记录的归档、受控记录表格有效版本，由相应质量控制系统责任人员进行审查确认，并且对记录的使用、保管进行定期检查，做出记录。</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审查受控文件清单、文件发放记录。</w:t>
            </w:r>
          </w:p>
          <w:p>
            <w:pPr>
              <w:rPr>
                <w:rFonts w:ascii="仿宋_GB2312" w:hAnsi="宋体" w:eastAsia="仿宋_GB2312" w:cs="仿宋_GB2312"/>
                <w:bCs/>
                <w:sz w:val="24"/>
              </w:rPr>
            </w:pPr>
            <w:r>
              <w:rPr>
                <w:rFonts w:hint="eastAsia" w:ascii="仿宋_GB2312" w:hAnsi="宋体" w:eastAsia="仿宋_GB2312" w:cs="仿宋_GB2312"/>
                <w:bCs/>
                <w:sz w:val="24"/>
              </w:rPr>
              <w:t>审查施工方案、作业文件、检验记录、检验检测和试验报告（包括分供方提供的检验检测和试验报告）等，记录的归档、受控记录表格有效版本，由相应质量控制系统责任人员进行审查确认，并且对记录的使用、保管进行定期检查，做出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检验与试验控制</w:t>
            </w:r>
          </w:p>
        </w:tc>
        <w:tc>
          <w:tcPr>
            <w:tcW w:w="4111"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(1)检验与试验工艺文件基本要求，包括依据、内容、方法等；(2)检验与试验条件控制，包括检验与试验场地、环境、温度、介质、设备(装置)、工装、试验载荷、安全防护、试验监督和确认等；(3)过程检验与试验控制，包括前道工序未完成所要求的检验与试验或者必须的检验与试验报告未签发和确认前，不得转入下道工序或者放行的规定；(4)最终检验与试验控制，包括最终检验与试验前所有的过程检验与试验均已完成，并且检验与试验结论满足安全技术规范及相关标准的规定；(5)检验与试验状态，如合格、不合格、待检的标识控制；(6)检验试验记录和报告控制，包括检验试验的记录、报告的填写、审核和确认等，检验试验记录、报告、归档以及保管的特殊要求等。检验与试验工艺，最终检验与试验报告，由相应质量控制系统责任人员审查确认，作出记录。</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3.10</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抽查生产档案，审查各过程检验记录、报告，符合相关检验与试验工艺规定，检验与试验结论满足安全技术规范、标准的要求</w:t>
            </w:r>
            <w:r>
              <w:rPr>
                <w:rFonts w:ascii="仿宋_GB2312" w:hAnsi="宋体" w:eastAsia="仿宋_GB2312" w:cs="仿宋_GB2312"/>
                <w:bCs/>
                <w:sz w:val="24"/>
              </w:rPr>
              <w:t>。</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质量改进与服务</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 xml:space="preserve"> (1)质量信息控制，包括内、外部质量信息，特种设备安全监管部门和监督检验机构提出的质量问题，质量信息收集、汇总、分析、反馈、处理等；</w:t>
            </w:r>
          </w:p>
          <w:p>
            <w:pPr>
              <w:jc w:val="left"/>
              <w:rPr>
                <w:rFonts w:ascii="仿宋_GB2312" w:hAnsi="仿宋" w:eastAsia="仿宋_GB2312" w:cs="仿宋_GB2312"/>
                <w:sz w:val="24"/>
              </w:rPr>
            </w:pPr>
            <w:r>
              <w:rPr>
                <w:rFonts w:hint="eastAsia" w:ascii="仿宋_GB2312" w:hAnsi="仿宋" w:eastAsia="仿宋_GB2312" w:cs="仿宋_GB2312"/>
                <w:sz w:val="24"/>
              </w:rPr>
              <w:t>(2)每年至少进行1次完整的内部审核，对审核发现的问题分析原因、采取纠正措施并跟踪验证其有效性；</w:t>
            </w:r>
          </w:p>
          <w:p>
            <w:pPr>
              <w:jc w:val="left"/>
              <w:rPr>
                <w:rFonts w:ascii="仿宋_GB2312" w:hAnsi="仿宋" w:eastAsia="仿宋_GB2312" w:cs="仿宋_GB2312"/>
                <w:sz w:val="24"/>
              </w:rPr>
            </w:pPr>
            <w:r>
              <w:rPr>
                <w:rFonts w:hint="eastAsia" w:ascii="仿宋_GB2312" w:hAnsi="仿宋" w:eastAsia="仿宋_GB2312" w:cs="仿宋_GB2312"/>
                <w:sz w:val="24"/>
              </w:rPr>
              <w:t>(3)客户服务，包括服务计划、实施、验证和报告，以及相关人员职责等。</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adjustRightInd w:val="0"/>
              <w:snapToGrid w:val="0"/>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3.13</w:t>
            </w:r>
          </w:p>
        </w:tc>
        <w:tc>
          <w:tcPr>
            <w:tcW w:w="2835" w:type="dxa"/>
            <w:vAlign w:val="center"/>
          </w:tcPr>
          <w:p>
            <w:pPr>
              <w:snapToGrid w:val="0"/>
              <w:jc w:val="left"/>
              <w:rPr>
                <w:rFonts w:ascii="仿宋_GB2312" w:hAnsi="仿宋" w:eastAsia="仿宋_GB2312" w:cs="仿宋_GB2312"/>
                <w:sz w:val="24"/>
              </w:rPr>
            </w:pPr>
            <w:r>
              <w:rPr>
                <w:rFonts w:hint="eastAsia" w:ascii="仿宋_GB2312" w:hAnsi="仿宋_GB2312" w:eastAsia="仿宋_GB2312" w:cs="仿宋_GB2312"/>
                <w:sz w:val="24"/>
              </w:rPr>
              <w:t>审查</w:t>
            </w:r>
            <w:r>
              <w:rPr>
                <w:rFonts w:hint="eastAsia" w:ascii="仿宋_GB2312" w:hAnsi="仿宋_GB2312" w:eastAsia="仿宋_GB2312" w:cs="仿宋_GB2312"/>
                <w:kern w:val="0"/>
                <w:sz w:val="24"/>
              </w:rPr>
              <w:t>质量改进与服务</w:t>
            </w:r>
            <w:r>
              <w:rPr>
                <w:rFonts w:hint="eastAsia" w:ascii="仿宋_GB2312" w:hAnsi="仿宋_GB2312" w:eastAsia="仿宋_GB2312" w:cs="仿宋_GB2312"/>
                <w:sz w:val="24"/>
              </w:rPr>
              <w:t>控制程序是否满足要求，审查最近一次内审档案，审查质量信息控制内容满足要求，审查</w:t>
            </w:r>
            <w:r>
              <w:rPr>
                <w:rFonts w:hint="eastAsia" w:ascii="仿宋_GB2312" w:hAnsi="仿宋_GB2312" w:eastAsia="仿宋_GB2312" w:cs="仿宋_GB2312"/>
                <w:kern w:val="0"/>
                <w:sz w:val="24"/>
              </w:rPr>
              <w:t>质量信息收集、汇总、分析、反馈、处理档案，审查客服档案记录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(1)人员培训要求、内容、计划和实施等；</w:t>
            </w:r>
          </w:p>
          <w:p>
            <w:pPr>
              <w:jc w:val="left"/>
              <w:rPr>
                <w:rFonts w:ascii="仿宋_GB2312" w:hAnsi="仿宋" w:eastAsia="仿宋_GB2312" w:cs="仿宋_GB2312"/>
                <w:sz w:val="24"/>
              </w:rPr>
            </w:pPr>
            <w:r>
              <w:rPr>
                <w:rFonts w:hint="eastAsia" w:ascii="仿宋_GB2312" w:hAnsi="仿宋" w:eastAsia="仿宋_GB2312" w:cs="仿宋_GB2312"/>
                <w:sz w:val="24"/>
              </w:rPr>
              <w:t>(2)特种设备许可所要求的相关人员的培训、考核档案；</w:t>
            </w:r>
          </w:p>
          <w:p>
            <w:pPr>
              <w:jc w:val="left"/>
              <w:rPr>
                <w:rFonts w:ascii="仿宋_GB2312" w:hAnsi="仿宋" w:eastAsia="仿宋_GB2312" w:cs="仿宋_GB2312"/>
                <w:sz w:val="24"/>
              </w:rPr>
            </w:pPr>
            <w:r>
              <w:rPr>
                <w:rFonts w:hint="eastAsia" w:ascii="仿宋_GB2312" w:hAnsi="仿宋" w:eastAsia="仿宋_GB2312" w:cs="仿宋_GB2312"/>
                <w:sz w:val="24"/>
              </w:rPr>
              <w:t>(3)特种设备许可所要求的相关人员的聘用管理。</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adjustRightInd w:val="0"/>
              <w:snapToGrid w:val="0"/>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3.14</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审查最近一次培训计划及培训相关资料，审查人事档案管理满足法规和许可规则的要求。</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668" w:type="dxa"/>
            <w:gridSpan w:val="7"/>
            <w:vAlign w:val="center"/>
          </w:tcPr>
          <w:p>
            <w:pPr>
              <w:jc w:val="left"/>
              <w:rPr>
                <w:rFonts w:ascii="宋体" w:hAnsi="宋体" w:eastAsia="宋体"/>
                <w:sz w:val="24"/>
                <w:szCs w:val="24"/>
              </w:rPr>
            </w:pPr>
            <w:r>
              <w:rPr>
                <w:rFonts w:hint="eastAsia" w:ascii="宋体" w:hAnsi="宋体" w:eastAsia="宋体"/>
                <w:b/>
                <w:sz w:val="24"/>
                <w:szCs w:val="24"/>
              </w:rPr>
              <w:t>三、</w:t>
            </w:r>
            <w:r>
              <w:rPr>
                <w:rFonts w:hint="eastAsia" w:ascii="宋体" w:hAnsi="宋体" w:eastAsia="宋体"/>
                <w:b/>
                <w:sz w:val="24"/>
                <w:szCs w:val="24"/>
                <w:lang w:eastAsia="zh-CN"/>
              </w:rPr>
              <w:t>生产工作质量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修理方案</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修理单位应具有修理方案（或者作业指导书）、修理完成后的检验文件，且应符合安全技术规范及相关标准的要求。</w:t>
            </w:r>
          </w:p>
          <w:p>
            <w:pPr>
              <w:jc w:val="left"/>
              <w:rPr>
                <w:rFonts w:ascii="仿宋_GB2312" w:hAnsi="仿宋" w:eastAsia="仿宋_GB2312" w:cs="仿宋_GB2312"/>
                <w:sz w:val="24"/>
              </w:rPr>
            </w:pPr>
            <w:r>
              <w:rPr>
                <w:rFonts w:hint="eastAsia" w:ascii="仿宋_GB2312" w:hAnsi="仿宋" w:eastAsia="仿宋_GB2312" w:cs="仿宋_GB2312"/>
                <w:sz w:val="24"/>
              </w:rPr>
              <w:t>检验规程应当包括进货检验规程、过程检验规程、验收检验规程等，检验规程内容应当包括检验依据、检验与试验项目、检验与试验方法、技术参数要求、检验与试验仪器设备要求、抽样要求(必要时)、判定规则等。</w:t>
            </w:r>
          </w:p>
        </w:tc>
        <w:tc>
          <w:tcPr>
            <w:tcW w:w="1984"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抽查1台修理的设备，查看其修理方案，检验规程、外部购买件的检验记录，修理过程的检验记录，修理完成后的检验报告等，检验报告是否符合安全技术规范及相关标准的要求。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服务评价</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修理质量现场电话回访。修理后的自检报告是否移交，经修理后的设备是否还出现同一问题。</w:t>
            </w:r>
          </w:p>
        </w:tc>
        <w:tc>
          <w:tcPr>
            <w:tcW w:w="1984"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随机抽查近期修理设备5台，电话回访使用单位</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修理记录</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修理单位是否开展日常维护保养和检查工作。检查日常维护保养、自行检查和全面检查记录是否符合安全技术规范（TSG N0001-2017　《场(厂)内专用机动车辆安全技术监察规程》）、相关标准、使用维护保养的要求。</w:t>
            </w:r>
          </w:p>
        </w:tc>
        <w:tc>
          <w:tcPr>
            <w:tcW w:w="1984"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抽查1台维护保养设备，查看相关记录是否符合安全技术规范及相关标准的要求。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bl>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944899"/>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622D8"/>
    <w:multiLevelType w:val="multilevel"/>
    <w:tmpl w:val="790622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AA"/>
    <w:rsid w:val="00004B52"/>
    <w:rsid w:val="00030059"/>
    <w:rsid w:val="00040204"/>
    <w:rsid w:val="00061FB5"/>
    <w:rsid w:val="00062A6C"/>
    <w:rsid w:val="000672DB"/>
    <w:rsid w:val="0007101B"/>
    <w:rsid w:val="00091CD6"/>
    <w:rsid w:val="000B04F7"/>
    <w:rsid w:val="000C2226"/>
    <w:rsid w:val="000E7FE7"/>
    <w:rsid w:val="000F0322"/>
    <w:rsid w:val="000F0DAA"/>
    <w:rsid w:val="00104AB2"/>
    <w:rsid w:val="00160096"/>
    <w:rsid w:val="00175A7B"/>
    <w:rsid w:val="001B3B86"/>
    <w:rsid w:val="001F727E"/>
    <w:rsid w:val="00263B57"/>
    <w:rsid w:val="002E1F69"/>
    <w:rsid w:val="002E2060"/>
    <w:rsid w:val="00321ED5"/>
    <w:rsid w:val="00340824"/>
    <w:rsid w:val="0036078C"/>
    <w:rsid w:val="00391BAF"/>
    <w:rsid w:val="003B22BB"/>
    <w:rsid w:val="003C7074"/>
    <w:rsid w:val="0042629D"/>
    <w:rsid w:val="004456D2"/>
    <w:rsid w:val="004F1394"/>
    <w:rsid w:val="005009A7"/>
    <w:rsid w:val="00504C27"/>
    <w:rsid w:val="00524238"/>
    <w:rsid w:val="0054093A"/>
    <w:rsid w:val="00585C83"/>
    <w:rsid w:val="005D6921"/>
    <w:rsid w:val="005D6928"/>
    <w:rsid w:val="00601147"/>
    <w:rsid w:val="006334E0"/>
    <w:rsid w:val="00637787"/>
    <w:rsid w:val="00676A60"/>
    <w:rsid w:val="006B793D"/>
    <w:rsid w:val="006C6A1B"/>
    <w:rsid w:val="006E43FE"/>
    <w:rsid w:val="006F1B7E"/>
    <w:rsid w:val="00706B71"/>
    <w:rsid w:val="00712B50"/>
    <w:rsid w:val="00721F2F"/>
    <w:rsid w:val="00764679"/>
    <w:rsid w:val="00782988"/>
    <w:rsid w:val="007E52B6"/>
    <w:rsid w:val="007F136C"/>
    <w:rsid w:val="0080334F"/>
    <w:rsid w:val="0081386D"/>
    <w:rsid w:val="00815B49"/>
    <w:rsid w:val="00815C06"/>
    <w:rsid w:val="008262F9"/>
    <w:rsid w:val="008272C9"/>
    <w:rsid w:val="00830AF9"/>
    <w:rsid w:val="00854DFF"/>
    <w:rsid w:val="0085532B"/>
    <w:rsid w:val="00856F2D"/>
    <w:rsid w:val="00863ACA"/>
    <w:rsid w:val="00876C20"/>
    <w:rsid w:val="008846E5"/>
    <w:rsid w:val="008F2A91"/>
    <w:rsid w:val="008F72E8"/>
    <w:rsid w:val="009246B7"/>
    <w:rsid w:val="00930DAB"/>
    <w:rsid w:val="00943C97"/>
    <w:rsid w:val="009560FD"/>
    <w:rsid w:val="00995D0B"/>
    <w:rsid w:val="00996A0E"/>
    <w:rsid w:val="009B2796"/>
    <w:rsid w:val="00A46E23"/>
    <w:rsid w:val="00A6418E"/>
    <w:rsid w:val="00A97D55"/>
    <w:rsid w:val="00B23B22"/>
    <w:rsid w:val="00B3558A"/>
    <w:rsid w:val="00B5353D"/>
    <w:rsid w:val="00B71C1B"/>
    <w:rsid w:val="00B96BFD"/>
    <w:rsid w:val="00BE3B83"/>
    <w:rsid w:val="00BF099B"/>
    <w:rsid w:val="00BF40D8"/>
    <w:rsid w:val="00BF5F0D"/>
    <w:rsid w:val="00C22B31"/>
    <w:rsid w:val="00C42F68"/>
    <w:rsid w:val="00C51CBE"/>
    <w:rsid w:val="00C53153"/>
    <w:rsid w:val="00C60577"/>
    <w:rsid w:val="00CB0151"/>
    <w:rsid w:val="00CB11A2"/>
    <w:rsid w:val="00CB1993"/>
    <w:rsid w:val="00D17CDE"/>
    <w:rsid w:val="00D22EC7"/>
    <w:rsid w:val="00D4652A"/>
    <w:rsid w:val="00D66ECE"/>
    <w:rsid w:val="00D83DF7"/>
    <w:rsid w:val="00DB0150"/>
    <w:rsid w:val="00DC101F"/>
    <w:rsid w:val="00DD2CCA"/>
    <w:rsid w:val="00DF704C"/>
    <w:rsid w:val="00E009E8"/>
    <w:rsid w:val="00E26701"/>
    <w:rsid w:val="00E520FA"/>
    <w:rsid w:val="00E613F9"/>
    <w:rsid w:val="00EB3C42"/>
    <w:rsid w:val="00EE6B91"/>
    <w:rsid w:val="00EF5644"/>
    <w:rsid w:val="00F00879"/>
    <w:rsid w:val="00F433D7"/>
    <w:rsid w:val="00F5154C"/>
    <w:rsid w:val="00F62B4A"/>
    <w:rsid w:val="00FB015C"/>
    <w:rsid w:val="00FF46E5"/>
    <w:rsid w:val="0E8A20A3"/>
    <w:rsid w:val="12391CBF"/>
    <w:rsid w:val="21F511AD"/>
    <w:rsid w:val="3741774D"/>
    <w:rsid w:val="61A935C4"/>
    <w:rsid w:val="680F1D4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A7D32-3DEF-4667-AFB3-DCDC4CAA7C0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739</Words>
  <Characters>4214</Characters>
  <Lines>35</Lines>
  <Paragraphs>9</Paragraphs>
  <ScaleCrop>false</ScaleCrop>
  <LinksUpToDate>false</LinksUpToDate>
  <CharactersWithSpaces>4944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2021-08-31T02:07:00Z</dcterms:created>
  <dc:creator>YB</dc:creator>
  <cp:lastModifiedBy>罗向平</cp:lastModifiedBy>
  <dcterms:modified xsi:type="dcterms:W3CDTF">2021-09-14T03:11:36Z</dcterms:modified>
  <dc:title>场（厂）内专用机动车辆修理单位证后监督抽查项目、内容及记录</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4D96F2F5DB254DA493EDF8DD5FAFB84B</vt:lpwstr>
  </property>
</Properties>
</file>