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E288" w14:textId="77777777" w:rsidR="00AE1411" w:rsidRPr="00144F35" w:rsidRDefault="00AE1411" w:rsidP="00144F35">
      <w:pPr>
        <w:spacing w:line="360" w:lineRule="auto"/>
        <w:rPr>
          <w:rStyle w:val="NormalCharacter"/>
          <w:rFonts w:ascii="黑体" w:eastAsia="黑体" w:hAnsi="黑体"/>
          <w:sz w:val="32"/>
          <w:szCs w:val="32"/>
        </w:rPr>
      </w:pPr>
    </w:p>
    <w:p w14:paraId="11396357" w14:textId="77777777" w:rsidR="00144F35" w:rsidRPr="004870AD" w:rsidRDefault="00284C33" w:rsidP="005A3340">
      <w:pPr>
        <w:spacing w:line="480" w:lineRule="exact"/>
        <w:jc w:val="center"/>
        <w:rPr>
          <w:rStyle w:val="NormalCharacter"/>
          <w:rFonts w:ascii="方正小标宋简体" w:eastAsia="方正小标宋简体" w:hAnsi="Times New Roman"/>
          <w:sz w:val="44"/>
          <w:szCs w:val="44"/>
        </w:rPr>
      </w:pPr>
      <w:r w:rsidRPr="004870AD"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  <w:t>《特种设备型式试验机构核准规则》</w:t>
      </w:r>
    </w:p>
    <w:p w14:paraId="61A4CAB5" w14:textId="2AA641C4" w:rsidR="00284C33" w:rsidRPr="004870AD" w:rsidRDefault="00284C33" w:rsidP="005A3340">
      <w:pPr>
        <w:spacing w:line="480" w:lineRule="exact"/>
        <w:jc w:val="center"/>
        <w:rPr>
          <w:rStyle w:val="NormalCharacter"/>
          <w:rFonts w:ascii="方正小标宋简体" w:eastAsia="方正小标宋简体" w:hAnsi="Times New Roman"/>
          <w:sz w:val="44"/>
          <w:szCs w:val="44"/>
        </w:rPr>
      </w:pPr>
      <w:r w:rsidRPr="004870AD"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  <w:t>(TSG Z7004—2011)第1号修改单</w:t>
      </w:r>
    </w:p>
    <w:p w14:paraId="0A01743F" w14:textId="77777777" w:rsidR="00284C33" w:rsidRDefault="00284C33" w:rsidP="00284C33">
      <w:pPr>
        <w:adjustRightInd w:val="0"/>
        <w:snapToGrid w:val="0"/>
        <w:spacing w:line="400" w:lineRule="exact"/>
        <w:rPr>
          <w:rFonts w:ascii="Times New Roman" w:eastAsia="黑体" w:hAnsi="Times New Roman" w:cs="黑体"/>
          <w:color w:val="000000" w:themeColor="text1"/>
          <w:spacing w:val="3"/>
          <w:sz w:val="24"/>
          <w:szCs w:val="24"/>
          <w:lang w:eastAsia="zh-CN"/>
        </w:rPr>
      </w:pPr>
    </w:p>
    <w:p w14:paraId="74D55D57" w14:textId="77777777" w:rsidR="004870AD" w:rsidRPr="003540BD" w:rsidRDefault="004870AD" w:rsidP="00B0729E">
      <w:pPr>
        <w:spacing w:line="460" w:lineRule="exact"/>
        <w:ind w:firstLineChars="200" w:firstLine="640"/>
        <w:rPr>
          <w:rFonts w:ascii="方正黑体简体" w:eastAsia="方正黑体简体" w:hAnsi="黑体" w:cs="宋体"/>
          <w:bCs/>
          <w:sz w:val="32"/>
          <w:szCs w:val="32"/>
          <w:lang w:eastAsia="zh-CN"/>
        </w:rPr>
      </w:pPr>
      <w:r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一</w:t>
      </w: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、附件A修改</w:t>
      </w:r>
    </w:p>
    <w:p w14:paraId="386AC53F" w14:textId="77777777" w:rsidR="004246E6" w:rsidRPr="004870AD" w:rsidRDefault="004246E6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 xml:space="preserve">1. </w:t>
      </w:r>
      <w:r w:rsidR="00020AB1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“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附件A 特种设备型式试验核准项目分类表</w:t>
      </w:r>
      <w:r w:rsidR="00020AB1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”增加</w:t>
      </w:r>
      <w:r w:rsidR="00865066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一项</w:t>
      </w:r>
      <w:r w:rsidR="00FC4919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，其后的序号顺延</w:t>
      </w:r>
      <w:r w:rsidR="00865066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5466"/>
      </w:tblGrid>
      <w:tr w:rsidR="00865066" w:rsidRPr="004870AD" w14:paraId="1C445719" w14:textId="77777777" w:rsidTr="00D80ECD">
        <w:tc>
          <w:tcPr>
            <w:tcW w:w="846" w:type="dxa"/>
          </w:tcPr>
          <w:p w14:paraId="731DD86D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92" w:type="dxa"/>
          </w:tcPr>
          <w:p w14:paraId="5B04C5EE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核准项目代码</w:t>
            </w:r>
          </w:p>
        </w:tc>
        <w:tc>
          <w:tcPr>
            <w:tcW w:w="992" w:type="dxa"/>
          </w:tcPr>
          <w:p w14:paraId="612A30DF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核准项目种类</w:t>
            </w:r>
          </w:p>
        </w:tc>
        <w:tc>
          <w:tcPr>
            <w:tcW w:w="5466" w:type="dxa"/>
            <w:vAlign w:val="center"/>
          </w:tcPr>
          <w:p w14:paraId="2AA1CD0E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核准类别、品种（名称）</w:t>
            </w:r>
          </w:p>
        </w:tc>
      </w:tr>
      <w:tr w:rsidR="00865066" w:rsidRPr="004870AD" w14:paraId="28574B3C" w14:textId="77777777" w:rsidTr="00865066">
        <w:tc>
          <w:tcPr>
            <w:tcW w:w="846" w:type="dxa"/>
          </w:tcPr>
          <w:p w14:paraId="04CE18BA" w14:textId="77777777" w:rsidR="00865066" w:rsidRPr="004870AD" w:rsidRDefault="0001648A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992" w:type="dxa"/>
          </w:tcPr>
          <w:p w14:paraId="71974559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RCX</w:t>
            </w:r>
          </w:p>
        </w:tc>
        <w:tc>
          <w:tcPr>
            <w:tcW w:w="992" w:type="dxa"/>
          </w:tcPr>
          <w:p w14:paraId="534C66DC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压力</w:t>
            </w:r>
          </w:p>
          <w:p w14:paraId="3512E5C2" w14:textId="77777777" w:rsidR="00865066" w:rsidRPr="004870AD" w:rsidRDefault="00865066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容器</w:t>
            </w:r>
          </w:p>
        </w:tc>
        <w:tc>
          <w:tcPr>
            <w:tcW w:w="5466" w:type="dxa"/>
          </w:tcPr>
          <w:p w14:paraId="3105032B" w14:textId="77777777" w:rsidR="00865066" w:rsidRPr="004870AD" w:rsidRDefault="00865066" w:rsidP="00B0729E">
            <w:pPr>
              <w:spacing w:line="460" w:lineRule="exact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cs="黑体" w:hint="eastAsia"/>
                <w:color w:val="000000" w:themeColor="text1"/>
                <w:spacing w:val="3"/>
                <w:sz w:val="32"/>
                <w:szCs w:val="32"/>
                <w:lang w:eastAsia="zh-CN"/>
              </w:rPr>
              <w:t>压力容器用材料（钢板、锻件）</w:t>
            </w:r>
          </w:p>
        </w:tc>
      </w:tr>
    </w:tbl>
    <w:p w14:paraId="37EE02A2" w14:textId="77777777" w:rsidR="00865066" w:rsidRPr="004870AD" w:rsidRDefault="006D325D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2. “附件A 特种设备型式试验核准项目分类表”</w:t>
      </w:r>
      <w:r w:rsidR="00FC4919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删除一项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5466"/>
      </w:tblGrid>
      <w:tr w:rsidR="00FC4919" w:rsidRPr="004870AD" w14:paraId="4088D5E3" w14:textId="77777777" w:rsidTr="00D80ECD">
        <w:tc>
          <w:tcPr>
            <w:tcW w:w="846" w:type="dxa"/>
          </w:tcPr>
          <w:p w14:paraId="40E7BF6B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92" w:type="dxa"/>
          </w:tcPr>
          <w:p w14:paraId="15A7390D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核准项目代码</w:t>
            </w:r>
          </w:p>
        </w:tc>
        <w:tc>
          <w:tcPr>
            <w:tcW w:w="992" w:type="dxa"/>
          </w:tcPr>
          <w:p w14:paraId="4B445EA5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核准项目种类</w:t>
            </w:r>
          </w:p>
        </w:tc>
        <w:tc>
          <w:tcPr>
            <w:tcW w:w="5466" w:type="dxa"/>
            <w:vAlign w:val="center"/>
          </w:tcPr>
          <w:p w14:paraId="18EFBF41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核准类别、品种（名称）</w:t>
            </w:r>
          </w:p>
        </w:tc>
      </w:tr>
      <w:tr w:rsidR="00FC4919" w:rsidRPr="004870AD" w14:paraId="32D2E755" w14:textId="77777777" w:rsidTr="00CC31CF">
        <w:tc>
          <w:tcPr>
            <w:tcW w:w="846" w:type="dxa"/>
          </w:tcPr>
          <w:p w14:paraId="5C8244EC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31</w:t>
            </w:r>
          </w:p>
        </w:tc>
        <w:tc>
          <w:tcPr>
            <w:tcW w:w="992" w:type="dxa"/>
          </w:tcPr>
          <w:p w14:paraId="0C9AFB50" w14:textId="77777777" w:rsidR="00FC4919" w:rsidRPr="004870AD" w:rsidRDefault="00FC4919" w:rsidP="00B0729E">
            <w:pPr>
              <w:spacing w:line="460" w:lineRule="exact"/>
              <w:jc w:val="center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GPX</w:t>
            </w:r>
          </w:p>
        </w:tc>
        <w:tc>
          <w:tcPr>
            <w:tcW w:w="6458" w:type="dxa"/>
            <w:gridSpan w:val="2"/>
          </w:tcPr>
          <w:p w14:paraId="30A7DCEB" w14:textId="77777777" w:rsidR="00FC4919" w:rsidRPr="004870AD" w:rsidRDefault="00FC4919" w:rsidP="00B0729E">
            <w:pPr>
              <w:spacing w:line="460" w:lineRule="exact"/>
              <w:rPr>
                <w:rFonts w:ascii="方正书宋简体" w:eastAsia="方正书宋简体" w:hAnsi="Times New Roman"/>
                <w:sz w:val="32"/>
                <w:szCs w:val="32"/>
                <w:lang w:eastAsia="zh-CN"/>
              </w:rPr>
            </w:pPr>
            <w:r w:rsidRPr="004870AD">
              <w:rPr>
                <w:rFonts w:ascii="方正书宋简体" w:eastAsia="方正书宋简体" w:hAnsi="Times New Roman" w:hint="eastAsia"/>
                <w:sz w:val="32"/>
                <w:szCs w:val="32"/>
                <w:lang w:eastAsia="zh-CN"/>
              </w:rPr>
              <w:t>锅炉压力容器专用钢板</w:t>
            </w:r>
          </w:p>
        </w:tc>
      </w:tr>
    </w:tbl>
    <w:p w14:paraId="6001780D" w14:textId="77777777" w:rsidR="004870AD" w:rsidRPr="004870AD" w:rsidRDefault="004870AD" w:rsidP="00B0729E">
      <w:pPr>
        <w:spacing w:line="460" w:lineRule="exact"/>
        <w:ind w:firstLineChars="200" w:firstLine="640"/>
        <w:rPr>
          <w:rFonts w:ascii="方正黑体简体" w:eastAsia="方正黑体简体" w:hAnsi="黑体" w:cs="宋体"/>
          <w:bCs/>
          <w:sz w:val="32"/>
          <w:szCs w:val="32"/>
          <w:lang w:eastAsia="zh-CN"/>
        </w:rPr>
      </w:pP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二、附件</w:t>
      </w:r>
      <w:r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B</w:t>
      </w: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修改</w:t>
      </w:r>
    </w:p>
    <w:p w14:paraId="33677233" w14:textId="77777777" w:rsidR="004F0353" w:rsidRPr="004870AD" w:rsidRDefault="00284C33" w:rsidP="00B0729E">
      <w:pPr>
        <w:adjustRightInd w:val="0"/>
        <w:snapToGrid w:val="0"/>
        <w:spacing w:line="460" w:lineRule="exact"/>
        <w:ind w:firstLineChars="200" w:firstLine="67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在“B5.2.4 专用仪器设备 动作试验装置（适用于蓄能器）</w:t>
      </w:r>
      <w:r w:rsidR="004246E6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。”后增加</w:t>
      </w:r>
      <w:r w:rsidR="00D80ECD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：</w:t>
      </w:r>
    </w:p>
    <w:p w14:paraId="2294E273" w14:textId="77777777" w:rsidR="00835DB0" w:rsidRPr="004870AD" w:rsidRDefault="00E01DD7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黑体"/>
          <w:color w:val="000000" w:themeColor="text1"/>
          <w:spacing w:val="3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“</w:t>
      </w:r>
      <w:r w:rsidR="00835DB0"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B6</w:t>
      </w:r>
      <w:r w:rsidR="00835DB0"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ab/>
        <w:t>压力容器用材料（</w:t>
      </w:r>
      <w:r w:rsidR="004F0353"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钢</w:t>
      </w:r>
      <w:r w:rsidR="00835DB0"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板、锻件）</w:t>
      </w:r>
    </w:p>
    <w:p w14:paraId="44C01A09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黑体"/>
          <w:color w:val="000000" w:themeColor="text1"/>
          <w:spacing w:val="3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B6.1</w:t>
      </w: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ab/>
        <w:t>人员</w:t>
      </w:r>
    </w:p>
    <w:p w14:paraId="18B3B752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型式试验机构的人员 12 人以上，并且满足以下要求：</w:t>
      </w:r>
    </w:p>
    <w:p w14:paraId="418C756B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(1)具有型式试验资格的试验人员 8 人，其中具有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机械类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相关专业高级技术职称或高级检验师 2 人；</w:t>
      </w:r>
    </w:p>
    <w:p w14:paraId="44815F4A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(2)具有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金属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材料专业本科(或者中级技术职称)技术人员 2 人；</w:t>
      </w:r>
    </w:p>
    <w:p w14:paraId="3231766C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(3)具有超声Ⅱ级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及以上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资格的无损检测人员 2人。</w:t>
      </w:r>
    </w:p>
    <w:p w14:paraId="2E98CD39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黑体"/>
          <w:color w:val="000000" w:themeColor="text1"/>
          <w:spacing w:val="3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lastRenderedPageBreak/>
        <w:t>B6.2</w:t>
      </w: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ab/>
        <w:t>仪器设备</w:t>
      </w:r>
    </w:p>
    <w:p w14:paraId="3705E231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B6.2.1</w:t>
      </w:r>
      <w:r w:rsidRPr="004870AD">
        <w:rPr>
          <w:rFonts w:ascii="方正书宋简体" w:eastAsia="方正书宋简体" w:hAnsi="Times New Roman" w:hint="eastAsia"/>
          <w:color w:val="000000" w:themeColor="text1"/>
          <w:spacing w:val="8"/>
          <w:sz w:val="32"/>
          <w:szCs w:val="32"/>
          <w:lang w:eastAsia="zh-CN"/>
        </w:rPr>
        <w:tab/>
      </w: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理化检验设备</w:t>
      </w:r>
    </w:p>
    <w:p w14:paraId="77C34D83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(1)常温、低温冲击试验装置，能力不小于450J，最低温度达到-196℃</w:t>
      </w:r>
      <w:r w:rsidR="00507AB7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（</w:t>
      </w:r>
      <w:proofErr w:type="gramStart"/>
      <w:r w:rsidR="00507AB7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涉氢材料</w:t>
      </w:r>
      <w:proofErr w:type="gramEnd"/>
      <w:r w:rsidR="00507AB7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应达到-253℃）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；</w:t>
      </w:r>
    </w:p>
    <w:p w14:paraId="1A818105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 xml:space="preserve">(2)万能材料试验机，能力不小于50t，并且能够实现全程计算机控制与记录； </w:t>
      </w:r>
    </w:p>
    <w:p w14:paraId="753F5BFA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(3)材料试验机，能力不小于25t，并且能够实现全程计算机控制与记录，最高温度达到900℃，最低温度达到－196℃；</w:t>
      </w:r>
    </w:p>
    <w:p w14:paraId="1AB88ABF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 xml:space="preserve">(4)直读光谱仪，能够满足对包括 C、S、P 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、N、H、O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在内的非金属元素与32 种金属元素进行分析；</w:t>
      </w:r>
    </w:p>
    <w:p w14:paraId="34AF7DDB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(5)光学金相显微镜，具有50倍至1000倍的放大功能，并且配有数据传输系统及图像采集处理系统；</w:t>
      </w:r>
    </w:p>
    <w:p w14:paraId="4B7C0470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(6)数显硬度计，</w:t>
      </w:r>
      <w:proofErr w:type="gramStart"/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含布氏</w:t>
      </w:r>
      <w:proofErr w:type="gramEnd"/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、</w:t>
      </w:r>
      <w:proofErr w:type="gramStart"/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洛</w:t>
      </w:r>
      <w:proofErr w:type="gramEnd"/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氏、维氏；</w:t>
      </w:r>
    </w:p>
    <w:p w14:paraId="6FC31A45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(7)显微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维氏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硬度计；</w:t>
      </w:r>
    </w:p>
    <w:p w14:paraId="2AD3C440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 xml:space="preserve">(8)耐腐蚀性能试验(晶间腐蚀试验、应力腐蚀试验)设施； </w:t>
      </w:r>
    </w:p>
    <w:p w14:paraId="191C9668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(9)高温蠕变、持久强度试验机，数量不少于</w:t>
      </w:r>
      <w:r w:rsidR="00895AC3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7</w:t>
      </w: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0台，具有计算机控制与记录；</w:t>
      </w:r>
    </w:p>
    <w:p w14:paraId="78C2CE5F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(10)疲劳试验机，具有计算机控制与记录，高周疲劳、低周疲劳各1台。</w:t>
      </w:r>
    </w:p>
    <w:p w14:paraId="6474145C" w14:textId="77777777" w:rsidR="00835DB0" w:rsidRPr="004870AD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黑体"/>
          <w:color w:val="000000" w:themeColor="text1"/>
          <w:spacing w:val="3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>B6.2.2</w:t>
      </w:r>
      <w:r w:rsidRPr="004870AD">
        <w:rPr>
          <w:rFonts w:ascii="方正书宋简体" w:eastAsia="方正书宋简体" w:hAnsi="Times New Roman" w:cs="黑体" w:hint="eastAsia"/>
          <w:color w:val="000000" w:themeColor="text1"/>
          <w:spacing w:val="3"/>
          <w:sz w:val="32"/>
          <w:szCs w:val="32"/>
          <w:lang w:eastAsia="zh-CN"/>
        </w:rPr>
        <w:tab/>
        <w:t>无损检测设备</w:t>
      </w:r>
    </w:p>
    <w:p w14:paraId="543E0562" w14:textId="77777777" w:rsidR="00835DB0" w:rsidRDefault="00835DB0" w:rsidP="00B0729E">
      <w:pPr>
        <w:adjustRightInd w:val="0"/>
        <w:snapToGrid w:val="0"/>
        <w:spacing w:line="460" w:lineRule="exact"/>
        <w:ind w:firstLine="61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超声波探伤机，数字式。</w:t>
      </w:r>
      <w:r w:rsidR="00E01DD7"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>”</w:t>
      </w:r>
    </w:p>
    <w:p w14:paraId="6A615305" w14:textId="77777777" w:rsidR="004870AD" w:rsidRPr="004870AD" w:rsidRDefault="004870AD" w:rsidP="00B0729E">
      <w:pPr>
        <w:spacing w:line="460" w:lineRule="exact"/>
        <w:ind w:firstLineChars="200" w:firstLine="640"/>
        <w:rPr>
          <w:rFonts w:ascii="方正黑体简体" w:eastAsia="方正黑体简体" w:hAnsi="黑体" w:cs="宋体"/>
          <w:bCs/>
          <w:sz w:val="32"/>
          <w:szCs w:val="32"/>
          <w:lang w:eastAsia="zh-CN"/>
        </w:rPr>
      </w:pPr>
      <w:r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三</w:t>
      </w: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、附件</w:t>
      </w:r>
      <w:r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L</w:t>
      </w: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修改</w:t>
      </w:r>
    </w:p>
    <w:p w14:paraId="32BADF87" w14:textId="77777777" w:rsidR="008A3375" w:rsidRPr="004870AD" w:rsidRDefault="004246E6" w:rsidP="00B0729E">
      <w:pPr>
        <w:adjustRightInd w:val="0"/>
        <w:snapToGrid w:val="0"/>
        <w:spacing w:line="460" w:lineRule="exact"/>
        <w:ind w:firstLineChars="200" w:firstLine="672"/>
        <w:rPr>
          <w:rFonts w:ascii="方正书宋简体" w:eastAsia="方正书宋简体" w:hAnsi="Times New Roman" w:cs="Times New Roman"/>
          <w:color w:val="000000" w:themeColor="text1"/>
          <w:spacing w:val="8"/>
          <w:sz w:val="32"/>
          <w:szCs w:val="32"/>
          <w:lang w:eastAsia="zh-CN"/>
        </w:rPr>
      </w:pPr>
      <w:r w:rsidRPr="004870AD">
        <w:rPr>
          <w:rFonts w:ascii="方正书宋简体" w:eastAsia="方正书宋简体" w:hAnsi="Times New Roman" w:cs="Times New Roman" w:hint="eastAsia"/>
          <w:color w:val="000000" w:themeColor="text1"/>
          <w:spacing w:val="8"/>
          <w:sz w:val="32"/>
          <w:szCs w:val="32"/>
          <w:lang w:eastAsia="zh-CN"/>
        </w:rPr>
        <w:t xml:space="preserve"> 删除“附件L 锅炉压力容器专用钢板型式试验机构资源条件”的全部内容。</w:t>
      </w:r>
    </w:p>
    <w:p w14:paraId="461E096C" w14:textId="77777777" w:rsidR="00A44750" w:rsidRPr="004870AD" w:rsidRDefault="004870AD" w:rsidP="00B0729E">
      <w:pPr>
        <w:adjustRightInd w:val="0"/>
        <w:snapToGrid w:val="0"/>
        <w:spacing w:line="460" w:lineRule="exact"/>
        <w:ind w:firstLineChars="200" w:firstLine="640"/>
        <w:rPr>
          <w:rFonts w:ascii="方正黑体简体" w:eastAsia="方正黑体简体" w:hAnsi="黑体" w:cs="宋体"/>
          <w:bCs/>
          <w:sz w:val="32"/>
          <w:szCs w:val="32"/>
          <w:lang w:eastAsia="zh-CN"/>
        </w:rPr>
      </w:pPr>
      <w:r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四</w:t>
      </w:r>
      <w:r w:rsidRPr="003540B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>、</w:t>
      </w:r>
      <w:r w:rsidR="00A44750" w:rsidRPr="004870AD">
        <w:rPr>
          <w:rFonts w:ascii="方正黑体简体" w:eastAsia="方正黑体简体" w:hAnsi="黑体" w:cs="宋体" w:hint="eastAsia"/>
          <w:bCs/>
          <w:sz w:val="32"/>
          <w:szCs w:val="32"/>
          <w:lang w:eastAsia="zh-CN"/>
        </w:rPr>
        <w:t xml:space="preserve"> 将“国家质量监督检验检疫总局”修改为“国家市场监督管理总局”，将文中所有“国家质检总局”修改为“市场监管总局”。</w:t>
      </w:r>
    </w:p>
    <w:sectPr w:rsidR="00A44750" w:rsidRPr="004870AD" w:rsidSect="001B4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8CC" w14:textId="77777777" w:rsidR="002C3365" w:rsidRDefault="002C3365" w:rsidP="00507AB7">
      <w:r>
        <w:separator/>
      </w:r>
    </w:p>
  </w:endnote>
  <w:endnote w:type="continuationSeparator" w:id="0">
    <w:p w14:paraId="0CF78E0E" w14:textId="77777777" w:rsidR="002C3365" w:rsidRDefault="002C3365" w:rsidP="005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书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23B7" w14:textId="77777777" w:rsidR="002C3365" w:rsidRDefault="002C3365" w:rsidP="00507AB7">
      <w:r>
        <w:separator/>
      </w:r>
    </w:p>
  </w:footnote>
  <w:footnote w:type="continuationSeparator" w:id="0">
    <w:p w14:paraId="53CB1110" w14:textId="77777777" w:rsidR="002C3365" w:rsidRDefault="002C3365" w:rsidP="0050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B0"/>
    <w:rsid w:val="0001648A"/>
    <w:rsid w:val="00020AB1"/>
    <w:rsid w:val="000418A7"/>
    <w:rsid w:val="00144F35"/>
    <w:rsid w:val="00172ADB"/>
    <w:rsid w:val="001B43ED"/>
    <w:rsid w:val="00284C33"/>
    <w:rsid w:val="002C3365"/>
    <w:rsid w:val="0035174E"/>
    <w:rsid w:val="00386057"/>
    <w:rsid w:val="004246E6"/>
    <w:rsid w:val="004870AD"/>
    <w:rsid w:val="004F0353"/>
    <w:rsid w:val="00507AB7"/>
    <w:rsid w:val="005A3340"/>
    <w:rsid w:val="006312EB"/>
    <w:rsid w:val="006420D7"/>
    <w:rsid w:val="0065085D"/>
    <w:rsid w:val="006D325D"/>
    <w:rsid w:val="00835DB0"/>
    <w:rsid w:val="00837058"/>
    <w:rsid w:val="00865066"/>
    <w:rsid w:val="00895AC3"/>
    <w:rsid w:val="008A3375"/>
    <w:rsid w:val="00900DDB"/>
    <w:rsid w:val="00957AD8"/>
    <w:rsid w:val="00A11136"/>
    <w:rsid w:val="00A44750"/>
    <w:rsid w:val="00AE1411"/>
    <w:rsid w:val="00B02FCA"/>
    <w:rsid w:val="00B0729E"/>
    <w:rsid w:val="00C32522"/>
    <w:rsid w:val="00CD6E7D"/>
    <w:rsid w:val="00D80ECD"/>
    <w:rsid w:val="00E01DD7"/>
    <w:rsid w:val="00E30E1D"/>
    <w:rsid w:val="00E877FE"/>
    <w:rsid w:val="00F36B94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0E4E5"/>
  <w15:docId w15:val="{BBD35972-6172-4116-A4FC-DBBC7F8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491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AB7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507A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AB7"/>
    <w:rPr>
      <w:kern w:val="0"/>
      <w:sz w:val="18"/>
      <w:szCs w:val="18"/>
      <w:lang w:eastAsia="en-US"/>
    </w:rPr>
  </w:style>
  <w:style w:type="character" w:customStyle="1" w:styleId="NormalCharacter">
    <w:name w:val="NormalCharacter"/>
    <w:qFormat/>
    <w:rsid w:val="00284C33"/>
    <w:rPr>
      <w:rFonts w:ascii="Calibri" w:eastAsia="宋体" w:hAnsi="Calibri" w:cs="Times New Roman"/>
      <w:lang w:val="en-US" w:eastAsia="zh-CN" w:bidi="ar-SA"/>
    </w:rPr>
  </w:style>
  <w:style w:type="table" w:styleId="a7">
    <w:name w:val="Table Grid"/>
    <w:basedOn w:val="a1"/>
    <w:uiPriority w:val="39"/>
    <w:rsid w:val="0086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A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5AC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</dc:creator>
  <cp:lastModifiedBy>Thinkpad</cp:lastModifiedBy>
  <cp:revision>5</cp:revision>
  <cp:lastPrinted>2022-05-18T07:56:00Z</cp:lastPrinted>
  <dcterms:created xsi:type="dcterms:W3CDTF">2022-05-19T01:15:00Z</dcterms:created>
  <dcterms:modified xsi:type="dcterms:W3CDTF">2022-05-26T06:22:00Z</dcterms:modified>
</cp:coreProperties>
</file>