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ascii="宋体" w:hAnsi="宋体" w:eastAsia="宋体" w:cs="宋体"/>
          <w:b/>
          <w:bCs/>
          <w:sz w:val="32"/>
          <w:szCs w:val="32"/>
        </w:rPr>
        <w:t>《工业锅炉</w:t>
      </w:r>
      <w:r>
        <w:rPr>
          <w:rFonts w:hint="eastAsia" w:ascii="宋体" w:hAnsi="宋体" w:eastAsia="宋体" w:cs="宋体"/>
          <w:b/>
          <w:bCs/>
          <w:sz w:val="32"/>
          <w:szCs w:val="32"/>
          <w:lang w:eastAsia="zh-CN"/>
        </w:rPr>
        <w:t>水处理</w:t>
      </w:r>
      <w:r>
        <w:rPr>
          <w:rFonts w:ascii="宋体" w:hAnsi="宋体" w:eastAsia="宋体" w:cs="宋体"/>
          <w:b/>
          <w:bCs/>
          <w:sz w:val="32"/>
          <w:szCs w:val="32"/>
        </w:rPr>
        <w:t>用</w:t>
      </w:r>
      <w:r>
        <w:rPr>
          <w:rFonts w:hint="eastAsia" w:ascii="宋体" w:hAnsi="宋体" w:eastAsia="宋体" w:cs="宋体"/>
          <w:b/>
          <w:bCs/>
          <w:sz w:val="32"/>
          <w:szCs w:val="32"/>
          <w:lang w:eastAsia="zh-CN"/>
        </w:rPr>
        <w:t>阻垢缓蚀</w:t>
      </w:r>
      <w:r>
        <w:rPr>
          <w:rFonts w:ascii="宋体" w:hAnsi="宋体" w:eastAsia="宋体" w:cs="宋体"/>
          <w:b/>
          <w:bCs/>
          <w:sz w:val="32"/>
          <w:szCs w:val="32"/>
        </w:rPr>
        <w:t>剂》编制说明</w:t>
      </w:r>
    </w:p>
    <w:p>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pPr>
        <w:pStyle w:val="2"/>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pPr>
        <w:pStyle w:val="2"/>
        <w:keepNext w:val="0"/>
        <w:keepLines w:val="0"/>
        <w:pageBreakBefore w:val="0"/>
        <w:widowControl w:val="0"/>
        <w:numPr>
          <w:ilvl w:val="0"/>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spacing w:val="-3"/>
          <w:lang w:val="en-US" w:eastAsia="zh-CN"/>
        </w:rPr>
      </w:pPr>
      <w:r>
        <w:rPr>
          <w:rFonts w:hint="eastAsia"/>
          <w:spacing w:val="-3"/>
          <w:lang w:val="en-US" w:eastAsia="zh-CN"/>
        </w:rPr>
        <w:t>锅炉水处理药剂目前使用比较普遍的有缓蚀剂、阻垢剂、阻垢缓蚀复合药剂等。目的是调节水质、避免或减缓水汽腐蚀、结垢，防止汽水共腾的发生，保持最佳传热效果；促进锅炉及热力系统安全、经济、节能、环保运行。</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spacing w:val="-3"/>
          <w:lang w:val="en-US" w:eastAsia="zh-CN"/>
        </w:rPr>
      </w:pPr>
      <w:r>
        <w:rPr>
          <w:rFonts w:hint="eastAsia"/>
          <w:spacing w:val="-3"/>
          <w:lang w:val="en-US" w:eastAsia="zh-CN"/>
        </w:rPr>
        <w:t>目前关于水处理阻垢缓蚀剂的标准主要集中在循环水方面。用在锅炉方面的水处理药剂没有相关标准。如电力行业DL/T 806-2013《火力发电厂循环水用阻垢缓蚀剂》、火力发电厂循环水用阻垢缓蚀剂是由有机瞵酸、有机酸聚合物、多种缓蚀剂成分及多元共聚物等组成,主要用于火力发电厂敞开式循环冷却水系统的阻垢、防腐处理,适用于采用不同顸处理工艺及水质补充水的循环冷却水处理。</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spacing w:val="-3"/>
          <w:lang w:val="en-US" w:eastAsia="zh-CN"/>
        </w:rPr>
      </w:pPr>
      <w:r>
        <w:rPr>
          <w:rFonts w:hint="eastAsia"/>
          <w:spacing w:val="-3"/>
          <w:lang w:val="en-US" w:eastAsia="zh-CN"/>
        </w:rPr>
        <w:t>化工行业HG/T 2430-2009 《水处理剂 阻垢缓蚀剂Ⅱ》适用于以共聚物和有机磷酸类为主要成分复配而成的全有机阻垢缓蚀剂，产品主要用作敞开式循环冷却水系统阻垢缓蚀剂用。HG/T 2431-2009 《水处理剂 阻垢缓蚀剂Ⅲ》主要用作水处理的缓蚀阻垢剂。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spacing w:val="-3"/>
        </w:rPr>
      </w:pPr>
      <w:r>
        <w:rPr>
          <w:rFonts w:hint="eastAsia"/>
          <w:spacing w:val="-3"/>
          <w:lang w:val="en-US" w:eastAsia="zh-CN"/>
        </w:rPr>
        <w:t>2019年、2022年广东省市场监督管理局对地方标准进行了2次复查，原</w:t>
      </w:r>
      <w:r>
        <w:rPr>
          <w:rFonts w:hint="eastAsia"/>
          <w:spacing w:val="-3"/>
          <w:lang w:eastAsia="zh-CN"/>
        </w:rPr>
        <w:t>广东省地方标准</w:t>
      </w:r>
      <w:r>
        <w:rPr>
          <w:rFonts w:hint="eastAsia"/>
          <w:spacing w:val="-3"/>
        </w:rPr>
        <w:t>DB44</w:t>
      </w:r>
      <w:r>
        <w:rPr>
          <w:rFonts w:hint="eastAsia"/>
          <w:spacing w:val="-3"/>
          <w:lang w:val="en-US" w:eastAsia="zh-CN"/>
        </w:rPr>
        <w:t>/</w:t>
      </w:r>
      <w:r>
        <w:rPr>
          <w:rFonts w:hint="eastAsia"/>
          <w:spacing w:val="-3"/>
        </w:rPr>
        <w:t xml:space="preserve">T 452-2007 </w:t>
      </w:r>
      <w:r>
        <w:rPr>
          <w:rFonts w:hint="eastAsia"/>
          <w:spacing w:val="-3"/>
          <w:lang w:eastAsia="zh-CN"/>
        </w:rPr>
        <w:t>《</w:t>
      </w:r>
      <w:r>
        <w:rPr>
          <w:rFonts w:hint="eastAsia"/>
          <w:spacing w:val="-3"/>
        </w:rPr>
        <w:t>工业锅炉水处理用含磷（膦）缓蚀阻垢剂</w:t>
      </w:r>
      <w:r>
        <w:rPr>
          <w:rFonts w:hint="eastAsia"/>
          <w:spacing w:val="-3"/>
          <w:lang w:eastAsia="zh-CN"/>
        </w:rPr>
        <w:t>》拟</w:t>
      </w:r>
      <w:r>
        <w:rPr>
          <w:rFonts w:hint="eastAsia"/>
          <w:spacing w:val="-3"/>
          <w:lang w:val="en-US" w:eastAsia="zh-CN"/>
        </w:rPr>
        <w:t>废止。考虑到实际工作需要，故申请了本团体标准。</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spacing w:val="-3"/>
        </w:rPr>
      </w:pPr>
      <w:r>
        <w:rPr>
          <w:spacing w:val="-3"/>
        </w:rPr>
        <w:t>20</w:t>
      </w:r>
      <w:r>
        <w:rPr>
          <w:rFonts w:hint="eastAsia"/>
          <w:spacing w:val="-3"/>
          <w:lang w:val="en-US" w:eastAsia="zh-CN"/>
        </w:rPr>
        <w:t>22</w:t>
      </w:r>
      <w:r>
        <w:rPr>
          <w:spacing w:val="-3"/>
        </w:rPr>
        <w:t>年</w:t>
      </w:r>
      <w:r>
        <w:rPr>
          <w:rFonts w:hint="eastAsia"/>
          <w:spacing w:val="-3"/>
          <w:lang w:val="en-US" w:eastAsia="zh-CN"/>
        </w:rPr>
        <w:t>7</w:t>
      </w:r>
      <w:r>
        <w:rPr>
          <w:spacing w:val="-3"/>
        </w:rPr>
        <w:t>月</w:t>
      </w:r>
      <w:r>
        <w:rPr>
          <w:rFonts w:hint="eastAsia"/>
          <w:spacing w:val="-3"/>
          <w:lang w:eastAsia="zh-CN"/>
        </w:rPr>
        <w:t>，广州特种承压设备检测研究院向广东省特种设备行业协会申请立项制定《工业锅炉水处理用阻垢缓蚀剂》团体标准。20</w:t>
      </w:r>
      <w:r>
        <w:rPr>
          <w:rFonts w:hint="eastAsia"/>
          <w:spacing w:val="-3"/>
          <w:lang w:val="en-US" w:eastAsia="zh-CN"/>
        </w:rPr>
        <w:t>22</w:t>
      </w:r>
      <w:r>
        <w:rPr>
          <w:rFonts w:hint="eastAsia"/>
          <w:spacing w:val="-3"/>
          <w:lang w:eastAsia="zh-CN"/>
        </w:rPr>
        <w:t>年</w:t>
      </w:r>
      <w:r>
        <w:rPr>
          <w:rFonts w:hint="eastAsia"/>
          <w:spacing w:val="-3"/>
          <w:lang w:val="en-US" w:eastAsia="zh-CN"/>
        </w:rPr>
        <w:t>8月</w:t>
      </w:r>
      <w:r>
        <w:rPr>
          <w:rFonts w:hint="eastAsia"/>
          <w:spacing w:val="-3"/>
          <w:lang w:eastAsia="zh-CN"/>
        </w:rPr>
        <w:t>获得批准</w:t>
      </w:r>
      <w:bookmarkStart w:id="0" w:name="OLE_LINK2"/>
      <w:bookmarkStart w:id="1" w:name="OLE_LINK1"/>
      <w:r>
        <w:rPr>
          <w:rFonts w:hint="eastAsia"/>
          <w:spacing w:val="-3"/>
          <w:lang w:eastAsia="zh-CN"/>
        </w:rPr>
        <w:t>。项目名称：《工业锅炉水处理用阻垢缓蚀剂》。</w:t>
      </w:r>
      <w:bookmarkEnd w:id="0"/>
      <w:bookmarkEnd w:id="1"/>
      <w:r>
        <w:rPr>
          <w:rFonts w:hint="eastAsia"/>
          <w:spacing w:val="-3"/>
          <w:lang w:val="en-US" w:eastAsia="zh-CN"/>
        </w:rPr>
        <w:t>文件</w:t>
      </w:r>
      <w:r>
        <w:rPr>
          <w:rFonts w:hint="default"/>
          <w:spacing w:val="-3"/>
          <w:lang w:eastAsia="zh-CN"/>
        </w:rPr>
        <w:t>编号：</w:t>
      </w:r>
      <w:r>
        <w:rPr>
          <w:rFonts w:hint="eastAsia"/>
          <w:spacing w:val="-3"/>
          <w:lang w:val="en-US" w:eastAsia="zh-CN"/>
        </w:rPr>
        <w:t>粤特协</w:t>
      </w:r>
      <w:r>
        <w:rPr>
          <w:rFonts w:hint="default"/>
          <w:spacing w:val="-3"/>
          <w:lang w:eastAsia="zh-CN"/>
        </w:rPr>
        <w:t>[2022]</w:t>
      </w:r>
      <w:r>
        <w:rPr>
          <w:rFonts w:hint="eastAsia"/>
          <w:spacing w:val="-3"/>
          <w:lang w:val="en-US" w:eastAsia="zh-CN"/>
        </w:rPr>
        <w:t>34</w:t>
      </w:r>
      <w:r>
        <w:rPr>
          <w:rFonts w:hint="default"/>
          <w:spacing w:val="-3"/>
          <w:lang w:eastAsia="zh-CN"/>
        </w:rPr>
        <w:t>号，计划完成时间 202</w:t>
      </w:r>
      <w:r>
        <w:rPr>
          <w:rFonts w:hint="eastAsia"/>
          <w:spacing w:val="-3"/>
          <w:lang w:val="en-US" w:eastAsia="zh-CN"/>
        </w:rPr>
        <w:t>3</w:t>
      </w:r>
      <w:r>
        <w:rPr>
          <w:rFonts w:hint="default"/>
          <w:spacing w:val="-3"/>
          <w:lang w:eastAsia="zh-CN"/>
        </w:rPr>
        <w:t xml:space="preserve"> 年</w:t>
      </w:r>
      <w:r>
        <w:rPr>
          <w:rFonts w:hint="eastAsia"/>
          <w:spacing w:val="-3"/>
          <w:lang w:val="en-US" w:eastAsia="zh-CN"/>
        </w:rPr>
        <w:t>2</w:t>
      </w:r>
      <w:r>
        <w:rPr>
          <w:rFonts w:hint="default"/>
          <w:spacing w:val="-3"/>
          <w:lang w:eastAsia="zh-CN"/>
        </w:rPr>
        <w:t xml:space="preserve"> 月。</w:t>
      </w:r>
    </w:p>
    <w:p>
      <w:pPr>
        <w:pStyle w:val="2"/>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hint="default"/>
          <w:spacing w:val="-3"/>
          <w:lang w:eastAsia="zh-CN"/>
        </w:rPr>
        <w:t>标准由</w:t>
      </w:r>
      <w:r>
        <w:rPr>
          <w:rFonts w:hint="eastAsia"/>
          <w:spacing w:val="-3"/>
          <w:lang w:eastAsia="zh-CN"/>
        </w:rPr>
        <w:t>广州特种承压设备检测研究院</w:t>
      </w:r>
      <w:r>
        <w:rPr>
          <w:rFonts w:hint="eastAsia"/>
          <w:spacing w:val="-3"/>
          <w:lang w:val="en-US" w:eastAsia="zh-CN"/>
        </w:rPr>
        <w:t>负责制定</w:t>
      </w:r>
      <w:r>
        <w:rPr>
          <w:rFonts w:hint="default"/>
          <w:spacing w:val="-3"/>
          <w:lang w:eastAsia="zh-CN"/>
        </w:rPr>
        <w:t>，</w:t>
      </w:r>
      <w:r>
        <w:rPr>
          <w:rFonts w:hint="eastAsia"/>
          <w:spacing w:val="-3"/>
          <w:lang w:val="en-US" w:eastAsia="zh-CN"/>
        </w:rPr>
        <w:t>广东省特种设备检测研究院中山检测院、广东省特种设备检测研究院揭阳检测院、</w:t>
      </w:r>
      <w:r>
        <w:rPr>
          <w:rFonts w:hint="eastAsia"/>
          <w:spacing w:val="-3"/>
          <w:lang w:eastAsia="zh-CN"/>
        </w:rPr>
        <w:t>广州科宝水处理科技股份有限公司</w:t>
      </w:r>
      <w:r>
        <w:rPr>
          <w:rFonts w:hint="default"/>
          <w:spacing w:val="-3"/>
          <w:lang w:eastAsia="zh-CN"/>
        </w:rPr>
        <w:t>等单位参与，组成</w:t>
      </w:r>
      <w:r>
        <w:rPr>
          <w:rFonts w:hint="eastAsia"/>
          <w:spacing w:val="-3"/>
          <w:lang w:val="en-US" w:eastAsia="zh-CN"/>
        </w:rPr>
        <w:t>制定</w:t>
      </w:r>
      <w:r>
        <w:rPr>
          <w:rFonts w:hint="default"/>
          <w:spacing w:val="-3"/>
          <w:lang w:eastAsia="zh-CN"/>
        </w:rPr>
        <w:t>工作组 共同完成标准的</w:t>
      </w:r>
      <w:r>
        <w:rPr>
          <w:rFonts w:hint="eastAsia"/>
          <w:spacing w:val="-3"/>
          <w:lang w:val="en-US" w:eastAsia="zh-CN"/>
        </w:rPr>
        <w:t>制定</w:t>
      </w:r>
      <w:r>
        <w:rPr>
          <w:rFonts w:hint="default"/>
          <w:spacing w:val="-3"/>
          <w:lang w:eastAsia="zh-CN"/>
        </w:rPr>
        <w:t>工作。</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ascii="Times New Roman" w:hAnsi="Times New Roman" w:eastAsia="Times New Roman" w:cs="Times New Roman"/>
        </w:rPr>
        <w:t>202</w:t>
      </w:r>
      <w:r>
        <w:rPr>
          <w:rFonts w:hint="default" w:ascii="Times New Roman" w:hAnsi="Times New Roman" w:eastAsia="Times New Roman" w:cs="Times New Roman"/>
        </w:rPr>
        <w:t>2</w:t>
      </w:r>
      <w:r>
        <w:rPr>
          <w:rFonts w:hint="default" w:ascii="Times New Roman" w:hAnsi="Times New Roman" w:eastAsia="Times New Roman" w:cs="Times New Roman"/>
          <w:spacing w:val="1"/>
        </w:rPr>
        <w:t xml:space="preserve"> </w:t>
      </w:r>
      <w:r>
        <w:rPr>
          <w:rFonts w:hint="default" w:ascii="Times New Roman" w:hAnsi="Times New Roman" w:cs="Times New Roman"/>
        </w:rPr>
        <w:t>年</w:t>
      </w:r>
      <w:r>
        <w:rPr>
          <w:rFonts w:hint="default" w:ascii="Times New Roman" w:hAnsi="Times New Roman" w:cs="Times New Roman"/>
          <w:spacing w:val="-59"/>
        </w:rPr>
        <w:t xml:space="preserve"> </w:t>
      </w:r>
      <w:r>
        <w:rPr>
          <w:rFonts w:hint="eastAsia" w:ascii="Times New Roman" w:hAnsi="Times New Roman" w:cs="Times New Roman"/>
          <w:lang w:val="en-US" w:eastAsia="zh-CN"/>
        </w:rPr>
        <w:t>8</w:t>
      </w:r>
      <w:r>
        <w:rPr>
          <w:rFonts w:hint="default" w:ascii="Times New Roman" w:hAnsi="Times New Roman" w:eastAsia="Times New Roman" w:cs="Times New Roman"/>
          <w:spacing w:val="1"/>
        </w:rPr>
        <w:t xml:space="preserve"> </w:t>
      </w:r>
      <w:r>
        <w:rPr>
          <w:rFonts w:hint="default" w:ascii="Times New Roman" w:hAnsi="Times New Roman" w:cs="Times New Roman"/>
        </w:rPr>
        <w:t>月至</w:t>
      </w:r>
      <w:r>
        <w:rPr>
          <w:rFonts w:hint="default" w:ascii="Times New Roman" w:hAnsi="Times New Roman" w:cs="Times New Roman"/>
          <w:spacing w:val="-59"/>
        </w:rPr>
        <w:t xml:space="preserve"> </w:t>
      </w:r>
      <w:r>
        <w:rPr>
          <w:rFonts w:hint="default" w:ascii="Times New Roman" w:hAnsi="Times New Roman" w:eastAsia="Times New Roman" w:cs="Times New Roman"/>
        </w:rPr>
        <w:t>2022</w:t>
      </w:r>
      <w:r>
        <w:rPr>
          <w:rFonts w:hint="default" w:ascii="Times New Roman" w:hAnsi="Times New Roman" w:eastAsia="Times New Roman" w:cs="Times New Roman"/>
          <w:spacing w:val="1"/>
        </w:rPr>
        <w:t xml:space="preserve"> </w:t>
      </w:r>
      <w:r>
        <w:rPr>
          <w:rFonts w:hint="default" w:ascii="Times New Roman" w:hAnsi="Times New Roman" w:cs="Times New Roman"/>
        </w:rPr>
        <w:t>年</w:t>
      </w:r>
      <w:r>
        <w:rPr>
          <w:rFonts w:hint="eastAsia" w:ascii="Times New Roman" w:hAnsi="Times New Roman" w:cs="Times New Roman"/>
          <w:lang w:val="en-US" w:eastAsia="zh-CN"/>
        </w:rPr>
        <w:t>10</w:t>
      </w:r>
      <w:r>
        <w:rPr>
          <w:spacing w:val="-5"/>
        </w:rPr>
        <w:t>月，</w:t>
      </w:r>
      <w:r>
        <w:rPr>
          <w:rFonts w:hint="eastAsia"/>
          <w:spacing w:val="-5"/>
          <w:lang w:eastAsia="zh-CN"/>
        </w:rPr>
        <w:t>标准</w:t>
      </w:r>
      <w:r>
        <w:rPr>
          <w:spacing w:val="-5"/>
        </w:rPr>
        <w:t>负责起草单位完善标准草案，形成征求意见稿</w:t>
      </w:r>
      <w:r>
        <w:rPr>
          <w:rFonts w:hint="eastAsia"/>
          <w:spacing w:val="-5"/>
          <w:lang w:eastAsia="zh-CN"/>
        </w:rPr>
        <w:t>（</w:t>
      </w:r>
      <w:r>
        <w:t>初稿</w:t>
      </w:r>
      <w:r>
        <w:rPr>
          <w:rFonts w:hint="eastAsia"/>
          <w:lang w:eastAsia="zh-CN"/>
        </w:rPr>
        <w:t>）</w:t>
      </w:r>
      <w:r>
        <w:t>及编制说明，提交至</w:t>
      </w:r>
      <w:r>
        <w:rPr>
          <w:rFonts w:hint="eastAsia" w:ascii="Times New Roman" w:hAnsi="Times New Roman" w:cs="Times New Roman"/>
          <w:spacing w:val="-3"/>
          <w:lang w:val="en-US" w:eastAsia="zh-CN"/>
        </w:rPr>
        <w:t>广东省特种设备行业协会</w:t>
      </w:r>
      <w:r>
        <w:t>，并多次反馈修改。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ascii="Times New Roman" w:hAnsi="Times New Roman" w:eastAsia="Times New Roman" w:cs="Times New Roman"/>
        </w:rPr>
        <w:t>2022</w:t>
      </w:r>
      <w:r>
        <w:rPr>
          <w:rFonts w:ascii="Times New Roman" w:hAnsi="Times New Roman" w:eastAsia="Times New Roman" w:cs="Times New Roman"/>
          <w:spacing w:val="15"/>
        </w:rPr>
        <w:t xml:space="preserve"> </w:t>
      </w:r>
      <w:r>
        <w:rPr>
          <w:rFonts w:hint="eastAsia" w:ascii="Times New Roman" w:hAnsi="Times New Roman" w:cs="Times New Roman"/>
          <w:spacing w:val="15"/>
          <w:lang w:val="en-US" w:eastAsia="zh-CN"/>
        </w:rPr>
        <w:t>年</w:t>
      </w:r>
      <w:r>
        <w:rPr>
          <w:spacing w:val="-45"/>
        </w:rPr>
        <w:t xml:space="preserve"> </w:t>
      </w:r>
      <w:r>
        <w:rPr>
          <w:rFonts w:hint="eastAsia" w:ascii="Times New Roman" w:hAnsi="Times New Roman" w:cs="Times New Roman"/>
          <w:lang w:val="en-US" w:eastAsia="zh-CN"/>
        </w:rPr>
        <w:t>11</w:t>
      </w:r>
      <w:r>
        <w:t>月，经</w:t>
      </w:r>
      <w:r>
        <w:rPr>
          <w:rFonts w:hint="eastAsia" w:ascii="Times New Roman" w:hAnsi="Times New Roman" w:cs="Times New Roman"/>
          <w:spacing w:val="-3"/>
          <w:lang w:val="en-US" w:eastAsia="zh-CN"/>
        </w:rPr>
        <w:t>广东省特种设备行业协会</w:t>
      </w:r>
      <w:r>
        <w:t>修改后的标准征求意见稿</w:t>
      </w:r>
      <w:r>
        <w:rPr>
          <w:spacing w:val="-3"/>
        </w:rPr>
        <w:t>初稿在工作组内部进行意见征求，并根据组内征求意见结果及</w:t>
      </w:r>
      <w:r>
        <w:rPr>
          <w:rFonts w:hint="eastAsia"/>
          <w:spacing w:val="-3"/>
          <w:lang w:val="en-US" w:eastAsia="zh-CN"/>
        </w:rPr>
        <w:t>行业协会</w:t>
      </w:r>
      <w:r>
        <w:rPr>
          <w:spacing w:val="-3"/>
        </w:rPr>
        <w:t>意见修改完</w:t>
      </w:r>
      <w:r>
        <w:rPr>
          <w:spacing w:val="-114"/>
        </w:rPr>
        <w:t xml:space="preserve"> </w:t>
      </w:r>
      <w:r>
        <w:t xml:space="preserve">善标准文本，最终形成标准征求意见稿及编制说明。 </w:t>
      </w:r>
    </w:p>
    <w:p>
      <w:pPr>
        <w:pStyle w:val="2"/>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r>
        <w:rPr>
          <w:rFonts w:ascii="黑体" w:hAnsi="黑体" w:eastAsia="黑体" w:cs="黑体"/>
          <w:sz w:val="24"/>
          <w:szCs w:val="24"/>
        </w:rPr>
        <w:t>二、标准编制原则和主要内容</w:t>
      </w:r>
    </w:p>
    <w:p>
      <w:pPr>
        <w:pStyle w:val="2"/>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本标准的修订遵循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 本着先进性、科学性、合理性和可操作性的原则以及标准的统一性、协调性、适 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pPr>
        <w:pStyle w:val="2"/>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rPr>
      </w:pPr>
      <w:r>
        <w:t>本文件规定了工业锅炉</w:t>
      </w:r>
      <w:r>
        <w:rPr>
          <w:rFonts w:hint="eastAsia"/>
          <w:lang w:eastAsia="zh-CN"/>
        </w:rPr>
        <w:t>水处理</w:t>
      </w:r>
      <w:r>
        <w:t>用</w:t>
      </w:r>
      <w:r>
        <w:rPr>
          <w:rFonts w:hint="eastAsia"/>
          <w:lang w:eastAsia="zh-CN"/>
        </w:rPr>
        <w:t>阻垢缓蚀</w:t>
      </w:r>
      <w:r>
        <w:t>剂产品的技术要求、试验方法、检验规则、标志、包装运输、贮存。</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1</w:t>
      </w:r>
      <w:r>
        <w:rPr>
          <w:spacing w:val="-60"/>
        </w:rPr>
        <w:t xml:space="preserve"> </w:t>
      </w:r>
      <w:r>
        <w:rPr>
          <w:rFonts w:hint="eastAsia"/>
          <w:spacing w:val="-60"/>
          <w:lang w:val="en-US" w:eastAsia="zh-CN"/>
        </w:rPr>
        <w:t>适用</w:t>
      </w:r>
      <w:r>
        <w:t>范围</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pPr>
      <w:r>
        <w:t>2</w:t>
      </w:r>
      <w:r>
        <w:rPr>
          <w:spacing w:val="-60"/>
        </w:rPr>
        <w:t xml:space="preserve"> </w:t>
      </w:r>
      <w:r>
        <w:t>规范性引用文件</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eastAsia="zh-CN"/>
        </w:rPr>
      </w:pPr>
      <w:r>
        <w:t>3</w:t>
      </w:r>
      <w:r>
        <w:rPr>
          <w:spacing w:val="-60"/>
        </w:rPr>
        <w:t xml:space="preserve"> </w:t>
      </w:r>
      <w:r>
        <w:rPr>
          <w:rFonts w:hint="eastAsia"/>
          <w:lang w:eastAsia="zh-CN"/>
        </w:rPr>
        <w:t>技术要求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lang w:val="en-US" w:eastAsia="zh-CN"/>
        </w:rPr>
      </w:pPr>
      <w:r>
        <w:t>4</w:t>
      </w:r>
      <w:r>
        <w:rPr>
          <w:spacing w:val="-60"/>
        </w:rPr>
        <w:t xml:space="preserve"> </w:t>
      </w:r>
      <w:r>
        <w:rPr>
          <w:rFonts w:hint="eastAsia"/>
          <w:lang w:val="en-US" w:eastAsia="zh-CN"/>
        </w:rPr>
        <w:t>试验方法</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lang w:val="en-US" w:eastAsia="zh-CN"/>
        </w:rPr>
      </w:pPr>
      <w:r>
        <w:t xml:space="preserve">5 </w:t>
      </w:r>
      <w:r>
        <w:rPr>
          <w:rFonts w:hint="eastAsia"/>
          <w:lang w:eastAsia="zh-CN"/>
        </w:rPr>
        <w:t>检验规则</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lang w:val="en-US" w:eastAsia="zh-CN"/>
        </w:rPr>
      </w:pPr>
      <w:r>
        <w:rPr>
          <w:rFonts w:hint="eastAsia"/>
          <w:lang w:val="en-US" w:eastAsia="zh-CN"/>
        </w:rPr>
        <w:t>6包装、标志、运输和贮存</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20" w:firstLineChars="200"/>
        <w:jc w:val="left"/>
        <w:textAlignment w:val="auto"/>
        <w:rPr>
          <w:rFonts w:ascii="黑体" w:hAnsi="黑体" w:eastAsia="黑体" w:cs="黑体"/>
        </w:rPr>
      </w:pPr>
      <w:r>
        <w:rPr>
          <w:rFonts w:ascii="黑体" w:hAnsi="黑体" w:eastAsia="黑体" w:cs="黑体"/>
          <w:sz w:val="21"/>
          <w:szCs w:val="21"/>
        </w:rPr>
        <w:t>三、</w:t>
      </w:r>
      <w:r>
        <w:rPr>
          <w:rFonts w:ascii="黑体" w:hAnsi="黑体" w:eastAsia="黑体" w:cs="黑体"/>
        </w:rPr>
        <w:t>主要试验（或验证）情况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szCs w:val="24"/>
        </w:rPr>
      </w:pPr>
      <w:r>
        <w:rPr>
          <w:rFonts w:hint="eastAsia"/>
          <w:szCs w:val="24"/>
        </w:rPr>
        <w:t>考虑了目前广州市乃至广东省工业锅炉</w:t>
      </w:r>
      <w:r>
        <w:rPr>
          <w:rFonts w:hint="eastAsia"/>
          <w:szCs w:val="24"/>
          <w:lang w:eastAsia="zh-CN"/>
        </w:rPr>
        <w:t>水处理</w:t>
      </w:r>
      <w:r>
        <w:rPr>
          <w:rFonts w:hint="eastAsia"/>
          <w:szCs w:val="24"/>
        </w:rPr>
        <w:t>用</w:t>
      </w:r>
      <w:r>
        <w:rPr>
          <w:rFonts w:hint="eastAsia"/>
          <w:szCs w:val="24"/>
          <w:lang w:eastAsia="zh-CN"/>
        </w:rPr>
        <w:t>阻垢缓蚀</w:t>
      </w:r>
      <w:r>
        <w:rPr>
          <w:rFonts w:hint="eastAsia"/>
          <w:szCs w:val="24"/>
        </w:rPr>
        <w:t>剂使用现状和现实情况，起草单位自201</w:t>
      </w:r>
      <w:r>
        <w:rPr>
          <w:rFonts w:hint="eastAsia"/>
          <w:szCs w:val="24"/>
          <w:lang w:val="en-US" w:eastAsia="zh-CN"/>
        </w:rPr>
        <w:t>3</w:t>
      </w:r>
      <w:r>
        <w:rPr>
          <w:rFonts w:hint="eastAsia"/>
          <w:szCs w:val="24"/>
        </w:rPr>
        <w:t>年在国内首次开展</w:t>
      </w:r>
      <w:r>
        <w:rPr>
          <w:rFonts w:hint="eastAsia"/>
          <w:szCs w:val="24"/>
          <w:lang w:eastAsia="zh-CN"/>
        </w:rPr>
        <w:t>工业锅炉水处理药剂</w:t>
      </w:r>
      <w:r>
        <w:rPr>
          <w:rFonts w:hint="eastAsia"/>
          <w:szCs w:val="24"/>
        </w:rPr>
        <w:t>的</w:t>
      </w:r>
      <w:r>
        <w:rPr>
          <w:rFonts w:hint="eastAsia"/>
          <w:szCs w:val="24"/>
          <w:lang w:eastAsia="zh-CN"/>
        </w:rPr>
        <w:t>监督抽查和</w:t>
      </w:r>
      <w:r>
        <w:rPr>
          <w:rFonts w:hint="eastAsia"/>
          <w:szCs w:val="24"/>
        </w:rPr>
        <w:t>第三方定期检验，积累相关的检验经验，具备了标准的制定的可行性和操作性。检验项目及要求包括了技术要求、试验方法、检验规则、标志、包装运输、贮存</w:t>
      </w:r>
      <w:r>
        <w:rPr>
          <w:rFonts w:hint="eastAsia"/>
          <w:szCs w:val="24"/>
          <w:lang w:eastAsia="zh-CN"/>
        </w:rPr>
        <w:t>等</w:t>
      </w:r>
      <w:r>
        <w:rPr>
          <w:rFonts w:hint="eastAsia"/>
          <w:szCs w:val="24"/>
        </w:rPr>
        <w:t>主要</w:t>
      </w:r>
      <w:r>
        <w:rPr>
          <w:rFonts w:hint="eastAsia"/>
          <w:szCs w:val="24"/>
          <w:lang w:eastAsia="zh-CN"/>
        </w:rPr>
        <w:t>内容</w:t>
      </w:r>
      <w:r>
        <w:rPr>
          <w:rFonts w:hint="eastAsia"/>
          <w:szCs w:val="24"/>
        </w:rPr>
        <w:t>，检验方法和评判方法可靠可行，适应性比较广泛。</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四、</w:t>
      </w:r>
      <w:r>
        <w:rPr>
          <w:rFonts w:ascii="黑体" w:hAnsi="黑体" w:eastAsia="黑体" w:cs="黑体"/>
        </w:rPr>
        <w:t>标准中涉及专利的情况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bookmarkStart w:id="2" w:name="_GoBack"/>
      <w:bookmarkEnd w:id="2"/>
      <w:r>
        <w:t>本标准不涉及专利问题。</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五、</w:t>
      </w:r>
      <w:r>
        <w:rPr>
          <w:rFonts w:ascii="黑体" w:hAnsi="黑体" w:eastAsia="黑体" w:cs="黑体"/>
        </w:rPr>
        <w:t>预期达到的社会效益、对产业发展的作用等情况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eastAsia="宋体"/>
          <w:lang w:eastAsia="zh-CN"/>
        </w:rPr>
      </w:pPr>
      <w:r>
        <w:rPr>
          <w:spacing w:val="-7"/>
        </w:rPr>
        <w:t>本标准为</w:t>
      </w:r>
      <w:r>
        <w:rPr>
          <w:rFonts w:hint="eastAsia"/>
          <w:spacing w:val="-7"/>
          <w:lang w:val="en-US" w:eastAsia="zh-CN"/>
        </w:rPr>
        <w:t>制定</w:t>
      </w:r>
      <w:r>
        <w:rPr>
          <w:spacing w:val="-7"/>
        </w:rPr>
        <w:t>项目。</w:t>
      </w:r>
      <w:r>
        <w:rPr>
          <w:rFonts w:hint="eastAsia"/>
          <w:spacing w:val="-3"/>
          <w:lang w:val="en-US" w:eastAsia="zh-CN"/>
        </w:rPr>
        <w:t>锅炉水处理药剂质量的优劣直接影响到锅炉的腐蚀、结垢速度，是影响锅炉安全生产的重要因素之一，对锅炉安全经济运行构成了较大的危害。因此，制定工业锅炉水处理缓蚀阻垢剂团体标准，对规范行业质量，是把成熟的科技成果转化为生产力、促进水处理进步的需要，是保证锅炉安全经济运行的需要；也是安全监察机构监督管理的需要。</w:t>
      </w:r>
    </w:p>
    <w:p>
      <w:pPr>
        <w:pStyle w:val="2"/>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sz w:val="24"/>
          <w:szCs w:val="24"/>
        </w:rPr>
      </w:pPr>
      <w:r>
        <w:rPr>
          <w:rFonts w:ascii="黑体" w:hAnsi="黑体" w:eastAsia="黑体" w:cs="黑体"/>
          <w:sz w:val="24"/>
          <w:szCs w:val="24"/>
        </w:rPr>
        <w:t xml:space="preserve">与国际、国外对比情况 </w:t>
      </w:r>
    </w:p>
    <w:p>
      <w:pPr>
        <w:pStyle w:val="2"/>
        <w:keepNext w:val="0"/>
        <w:keepLines w:val="0"/>
        <w:pageBreakBefore w:val="0"/>
        <w:widowControl w:val="0"/>
        <w:numPr>
          <w:ilvl w:val="0"/>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ascii="黑体" w:hAnsi="黑体" w:eastAsia="黑体" w:cs="黑体"/>
          <w:spacing w:val="-2"/>
          <w:sz w:val="21"/>
          <w:szCs w:val="21"/>
        </w:rPr>
        <w:t>七、</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八、</w:t>
      </w:r>
      <w:r>
        <w:rPr>
          <w:rFonts w:ascii="黑体" w:hAnsi="黑体" w:eastAsia="黑体" w:cs="黑体"/>
        </w:rPr>
        <w:t>重大分歧意见的处理经过和依据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九、</w:t>
      </w:r>
      <w:r>
        <w:rPr>
          <w:rFonts w:ascii="黑体" w:hAnsi="黑体" w:eastAsia="黑体" w:cs="黑体"/>
        </w:rPr>
        <w:t>标准性质的建议说明</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w:t>
      </w:r>
      <w:r>
        <w:rPr>
          <w:rFonts w:hint="eastAsia"/>
          <w:lang w:eastAsia="zh-CN"/>
        </w:rPr>
        <w:t>地方团体</w:t>
      </w:r>
      <w:r>
        <w:t>标准。</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十、</w:t>
      </w:r>
      <w:r>
        <w:rPr>
          <w:rFonts w:ascii="黑体" w:hAnsi="黑体" w:eastAsia="黑体" w:cs="黑体"/>
        </w:rPr>
        <w:t>贯彻标准的要求和措施建议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 xml:space="preserve">建议本标准批准发布 </w:t>
      </w:r>
      <w:r>
        <w:rPr>
          <w:rFonts w:hint="eastAsia"/>
          <w:lang w:val="en-US" w:eastAsia="zh-CN"/>
        </w:rPr>
        <w:t>6</w:t>
      </w:r>
      <w:r>
        <w:t xml:space="preserve"> 个月后实施。</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十一、</w:t>
      </w:r>
      <w:r>
        <w:rPr>
          <w:rFonts w:ascii="黑体" w:hAnsi="黑体" w:eastAsia="黑体" w:cs="黑体"/>
          <w:sz w:val="24"/>
          <w:szCs w:val="24"/>
        </w:rPr>
        <w:t>废止现行相关标准的建议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十二、</w:t>
      </w:r>
      <w:r>
        <w:rPr>
          <w:rFonts w:ascii="黑体" w:hAnsi="黑体" w:eastAsia="黑体" w:cs="黑体"/>
          <w:sz w:val="24"/>
          <w:szCs w:val="24"/>
        </w:rPr>
        <w:t>其他应予说明的事项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417" w:right="1417" w:bottom="1417" w:left="1417"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C627E1CD"/>
    <w:multiLevelType w:val="singleLevel"/>
    <w:tmpl w:val="C627E1CD"/>
    <w:lvl w:ilvl="0" w:tentative="0">
      <w:start w:val="6"/>
      <w:numFmt w:val="chineseCounting"/>
      <w:suff w:val="nothing"/>
      <w:lvlText w:val="%1、"/>
      <w:lvlJc w:val="left"/>
      <w:rPr>
        <w:rFonts w:hint="eastAsia"/>
      </w:rPr>
    </w:lvl>
  </w:abstractNum>
  <w:abstractNum w:abstractNumId="2">
    <w:nsid w:val="76403264"/>
    <w:multiLevelType w:val="singleLevel"/>
    <w:tmpl w:val="7640326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TU2YzhiYmU0NjdkYmZjZTJiYTlhZjk0YjIxZTQifQ=="/>
  </w:docVars>
  <w:rsids>
    <w:rsidRoot w:val="00000000"/>
    <w:rsid w:val="24B44EE7"/>
    <w:rsid w:val="52B1254F"/>
    <w:rsid w:val="584A0D55"/>
    <w:rsid w:val="7B336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151"/>
      <w:ind w:left="602"/>
    </w:pPr>
    <w:rPr>
      <w:rFonts w:ascii="宋体" w:hAnsi="宋体" w:eastAsia="宋体"/>
      <w:sz w:val="24"/>
      <w:szCs w:val="24"/>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 w:type="paragraph" w:customStyle="1" w:styleId="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1953</Words>
  <Characters>2131</Characters>
  <TotalTime>5</TotalTime>
  <ScaleCrop>false</ScaleCrop>
  <LinksUpToDate>false</LinksUpToDate>
  <CharactersWithSpaces>2257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一笑扬</cp:lastModifiedBy>
  <dcterms:modified xsi:type="dcterms:W3CDTF">2022-11-08T09:12:03Z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2052-10.8.2.6990</vt:lpwstr>
  </property>
  <property fmtid="{D5CDD505-2E9C-101B-9397-08002B2CF9AE}" pid="5" name="ICV">
    <vt:lpwstr>7485C0E18E8D4EBA862B00916F3783ED</vt:lpwstr>
  </property>
</Properties>
</file>