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黑体"/>
          <w:b/>
          <w:sz w:val="28"/>
          <w:szCs w:val="28"/>
        </w:rPr>
      </w:pPr>
    </w:p>
    <w:p>
      <w:pPr>
        <w:adjustRightInd w:val="0"/>
        <w:snapToGrid w:val="0"/>
        <w:spacing w:line="360" w:lineRule="auto"/>
        <w:jc w:val="center"/>
        <w:rPr>
          <w:rFonts w:ascii="Times New Roman" w:hAnsi="Times New Roman" w:eastAsia="黑体"/>
          <w:b/>
          <w:sz w:val="48"/>
          <w:szCs w:val="48"/>
        </w:rPr>
      </w:pPr>
      <w:r>
        <w:rPr>
          <w:rFonts w:ascii="Times New Roman" w:hAnsi="Times New Roman" w:eastAsia="黑体"/>
          <w:b/>
          <w:sz w:val="48"/>
          <w:szCs w:val="48"/>
        </w:rPr>
        <w:t>团 体 标 准</w:t>
      </w:r>
    </w:p>
    <w:p>
      <w:pPr>
        <w:adjustRightInd w:val="0"/>
        <w:snapToGrid w:val="0"/>
        <w:spacing w:line="360" w:lineRule="auto"/>
        <w:jc w:val="center"/>
        <w:rPr>
          <w:rFonts w:ascii="Times New Roman" w:hAnsi="Times New Roman" w:eastAsia="黑体"/>
          <w:b/>
          <w:sz w:val="28"/>
          <w:szCs w:val="28"/>
        </w:rPr>
      </w:pPr>
    </w:p>
    <w:p>
      <w:pPr>
        <w:adjustRightInd w:val="0"/>
        <w:snapToGrid w:val="0"/>
        <w:spacing w:line="360" w:lineRule="auto"/>
        <w:jc w:val="center"/>
        <w:rPr>
          <w:rFonts w:ascii="Times New Roman" w:hAnsi="Times New Roman" w:eastAsia="黑体"/>
          <w:b/>
          <w:sz w:val="52"/>
          <w:szCs w:val="52"/>
        </w:rPr>
      </w:pPr>
      <w:r>
        <w:rPr>
          <w:rFonts w:hint="eastAsia" w:ascii="Times New Roman" w:hAnsi="Times New Roman" w:eastAsia="黑体"/>
          <w:b/>
          <w:sz w:val="52"/>
          <w:szCs w:val="52"/>
        </w:rPr>
        <w:t>《干式接头》</w:t>
      </w:r>
    </w:p>
    <w:p>
      <w:pPr>
        <w:adjustRightInd w:val="0"/>
        <w:snapToGrid w:val="0"/>
        <w:spacing w:line="360" w:lineRule="auto"/>
        <w:jc w:val="center"/>
        <w:rPr>
          <w:rFonts w:ascii="Times New Roman" w:hAnsi="Times New Roman" w:eastAsia="黑体"/>
          <w:b/>
          <w:sz w:val="28"/>
          <w:szCs w:val="24"/>
        </w:rPr>
      </w:pPr>
      <w:r>
        <w:rPr>
          <w:rFonts w:hint="eastAsia" w:ascii="Times New Roman" w:hAnsi="Times New Roman" w:eastAsia="黑体"/>
          <w:b/>
          <w:sz w:val="28"/>
          <w:szCs w:val="24"/>
        </w:rPr>
        <w:t>征求意见稿</w:t>
      </w:r>
    </w:p>
    <w:p>
      <w:pPr>
        <w:spacing w:line="480" w:lineRule="auto"/>
        <w:jc w:val="center"/>
        <w:rPr>
          <w:rFonts w:ascii="Times New Roman" w:hAnsi="Times New Roman" w:eastAsia="黑体"/>
          <w:b/>
          <w:sz w:val="28"/>
          <w:szCs w:val="28"/>
        </w:rPr>
      </w:pPr>
      <w:r>
        <w:rPr>
          <w:rFonts w:ascii="Times New Roman" w:hAnsi="Times New Roman" w:eastAsia="黑体"/>
          <w:b/>
          <w:sz w:val="52"/>
          <w:szCs w:val="52"/>
        </w:rPr>
        <w:t>编 制 说 明</w:t>
      </w:r>
    </w:p>
    <w:p>
      <w:pPr>
        <w:adjustRightInd w:val="0"/>
        <w:snapToGrid w:val="0"/>
        <w:spacing w:line="360" w:lineRule="auto"/>
        <w:rPr>
          <w:rFonts w:ascii="Times New Roman" w:hAnsi="Times New Roman" w:eastAsia="仿宋"/>
          <w:b/>
          <w:sz w:val="28"/>
          <w:szCs w:val="28"/>
        </w:rPr>
      </w:pPr>
    </w:p>
    <w:p>
      <w:pPr>
        <w:adjustRightInd w:val="0"/>
        <w:snapToGrid w:val="0"/>
        <w:spacing w:line="360" w:lineRule="auto"/>
        <w:rPr>
          <w:rFonts w:ascii="Times New Roman" w:hAnsi="Times New Roman" w:eastAsia="仿宋"/>
          <w:b/>
          <w:sz w:val="28"/>
          <w:szCs w:val="28"/>
        </w:rPr>
      </w:pPr>
    </w:p>
    <w:p>
      <w:pPr>
        <w:adjustRightInd w:val="0"/>
        <w:snapToGrid w:val="0"/>
        <w:spacing w:line="360" w:lineRule="auto"/>
        <w:rPr>
          <w:rFonts w:ascii="Times New Roman" w:hAnsi="Times New Roman" w:eastAsia="仿宋"/>
          <w:b/>
          <w:sz w:val="28"/>
          <w:szCs w:val="28"/>
        </w:rPr>
      </w:pPr>
    </w:p>
    <w:p>
      <w:pPr>
        <w:adjustRightInd w:val="0"/>
        <w:snapToGrid w:val="0"/>
        <w:spacing w:line="360" w:lineRule="auto"/>
        <w:rPr>
          <w:rFonts w:ascii="Times New Roman" w:hAnsi="Times New Roman" w:eastAsia="仿宋"/>
          <w:b/>
          <w:sz w:val="28"/>
          <w:szCs w:val="28"/>
        </w:rPr>
      </w:pPr>
    </w:p>
    <w:p>
      <w:pPr>
        <w:adjustRightInd w:val="0"/>
        <w:snapToGrid w:val="0"/>
        <w:spacing w:line="360" w:lineRule="auto"/>
        <w:rPr>
          <w:rFonts w:ascii="Times New Roman" w:hAnsi="Times New Roman" w:eastAsia="仿宋"/>
          <w:b/>
          <w:sz w:val="28"/>
          <w:szCs w:val="28"/>
        </w:rPr>
      </w:pPr>
    </w:p>
    <w:p>
      <w:pPr>
        <w:adjustRightInd w:val="0"/>
        <w:snapToGrid w:val="0"/>
        <w:spacing w:line="360" w:lineRule="auto"/>
        <w:rPr>
          <w:rFonts w:ascii="Times New Roman" w:hAnsi="Times New Roman" w:eastAsia="仿宋"/>
          <w:b/>
          <w:sz w:val="28"/>
          <w:szCs w:val="28"/>
        </w:rPr>
      </w:pPr>
    </w:p>
    <w:p>
      <w:pPr>
        <w:adjustRightInd w:val="0"/>
        <w:snapToGrid w:val="0"/>
        <w:spacing w:line="360" w:lineRule="auto"/>
        <w:rPr>
          <w:rFonts w:ascii="Times New Roman" w:hAnsi="Times New Roman" w:eastAsia="仿宋"/>
          <w:b/>
          <w:sz w:val="28"/>
          <w:szCs w:val="28"/>
        </w:rPr>
      </w:pPr>
    </w:p>
    <w:p>
      <w:pPr>
        <w:adjustRightInd w:val="0"/>
        <w:snapToGrid w:val="0"/>
        <w:spacing w:line="360" w:lineRule="auto"/>
        <w:rPr>
          <w:rFonts w:ascii="Times New Roman" w:hAnsi="Times New Roman" w:eastAsia="仿宋"/>
          <w:b/>
          <w:sz w:val="28"/>
          <w:szCs w:val="28"/>
        </w:rPr>
      </w:pPr>
    </w:p>
    <w:p>
      <w:pPr>
        <w:adjustRightInd w:val="0"/>
        <w:snapToGrid w:val="0"/>
        <w:spacing w:line="360" w:lineRule="auto"/>
        <w:rPr>
          <w:rFonts w:ascii="Times New Roman" w:hAnsi="Times New Roman" w:eastAsia="仿宋"/>
          <w:b/>
          <w:sz w:val="28"/>
          <w:szCs w:val="28"/>
        </w:rPr>
      </w:pPr>
    </w:p>
    <w:p>
      <w:pPr>
        <w:adjustRightInd w:val="0"/>
        <w:snapToGrid w:val="0"/>
        <w:spacing w:line="360" w:lineRule="auto"/>
        <w:rPr>
          <w:rFonts w:ascii="Times New Roman" w:hAnsi="Times New Roman" w:eastAsia="仿宋"/>
          <w:b/>
          <w:sz w:val="28"/>
          <w:szCs w:val="28"/>
        </w:rPr>
      </w:pPr>
    </w:p>
    <w:p>
      <w:pPr>
        <w:adjustRightInd w:val="0"/>
        <w:snapToGrid w:val="0"/>
        <w:spacing w:line="360" w:lineRule="auto"/>
        <w:rPr>
          <w:rFonts w:ascii="Times New Roman" w:hAnsi="Times New Roman" w:eastAsia="仿宋"/>
          <w:b/>
          <w:sz w:val="28"/>
          <w:szCs w:val="28"/>
        </w:rPr>
      </w:pPr>
    </w:p>
    <w:p>
      <w:pPr>
        <w:adjustRightInd w:val="0"/>
        <w:snapToGrid w:val="0"/>
        <w:spacing w:line="360" w:lineRule="auto"/>
        <w:rPr>
          <w:rFonts w:ascii="Times New Roman" w:hAnsi="Times New Roman" w:eastAsia="仿宋"/>
          <w:b/>
          <w:sz w:val="28"/>
          <w:szCs w:val="28"/>
        </w:rPr>
      </w:pPr>
    </w:p>
    <w:p>
      <w:pPr>
        <w:spacing w:line="480" w:lineRule="auto"/>
        <w:jc w:val="center"/>
        <w:rPr>
          <w:rFonts w:ascii="Times New Roman" w:hAnsi="Times New Roman" w:eastAsia="楷体_GB2312"/>
          <w:b/>
          <w:sz w:val="28"/>
          <w:szCs w:val="28"/>
        </w:rPr>
      </w:pPr>
      <w:r>
        <w:rPr>
          <w:rFonts w:ascii="Times New Roman" w:hAnsi="Times New Roman" w:eastAsia="楷体_GB2312"/>
          <w:b/>
          <w:sz w:val="28"/>
          <w:szCs w:val="28"/>
        </w:rPr>
        <w:t>《</w:t>
      </w:r>
      <w:r>
        <w:rPr>
          <w:rFonts w:hint="eastAsia" w:ascii="Times New Roman" w:hAnsi="Times New Roman" w:eastAsia="楷体_GB2312"/>
          <w:b/>
          <w:sz w:val="28"/>
          <w:szCs w:val="28"/>
        </w:rPr>
        <w:t>干式接头</w:t>
      </w:r>
      <w:r>
        <w:rPr>
          <w:rFonts w:ascii="Times New Roman" w:hAnsi="Times New Roman" w:eastAsia="楷体_GB2312"/>
          <w:b/>
          <w:sz w:val="28"/>
          <w:szCs w:val="28"/>
        </w:rPr>
        <w:t>》小组</w:t>
      </w:r>
    </w:p>
    <w:p>
      <w:pPr>
        <w:spacing w:line="360" w:lineRule="auto"/>
        <w:jc w:val="center"/>
        <w:rPr>
          <w:rFonts w:ascii="Times New Roman" w:hAnsi="Times New Roman" w:eastAsia="楷体_GB2312"/>
          <w:b/>
          <w:sz w:val="28"/>
          <w:szCs w:val="28"/>
        </w:rPr>
      </w:pPr>
      <w:r>
        <w:rPr>
          <w:rFonts w:ascii="Times New Roman" w:hAnsi="Times New Roman" w:eastAsia="楷体_GB2312"/>
          <w:b/>
          <w:sz w:val="28"/>
          <w:szCs w:val="28"/>
        </w:rPr>
        <w:t>二○</w:t>
      </w:r>
      <w:r>
        <w:rPr>
          <w:rFonts w:hint="eastAsia" w:ascii="Times New Roman" w:hAnsi="Times New Roman" w:eastAsia="楷体_GB2312"/>
          <w:b/>
          <w:sz w:val="28"/>
          <w:szCs w:val="28"/>
        </w:rPr>
        <w:t>二三</w:t>
      </w:r>
      <w:r>
        <w:rPr>
          <w:rFonts w:ascii="Times New Roman" w:hAnsi="Times New Roman" w:eastAsia="楷体_GB2312"/>
          <w:b/>
          <w:sz w:val="28"/>
          <w:szCs w:val="28"/>
        </w:rPr>
        <w:t>年</w:t>
      </w:r>
      <w:r>
        <w:rPr>
          <w:rFonts w:hint="eastAsia" w:ascii="Times New Roman" w:hAnsi="Times New Roman" w:eastAsia="楷体_GB2312"/>
          <w:b/>
          <w:sz w:val="28"/>
          <w:szCs w:val="28"/>
        </w:rPr>
        <w:t>七</w:t>
      </w:r>
      <w:r>
        <w:rPr>
          <w:rFonts w:ascii="Times New Roman" w:hAnsi="Times New Roman" w:eastAsia="楷体_GB2312"/>
          <w:b/>
          <w:sz w:val="28"/>
          <w:szCs w:val="28"/>
        </w:rPr>
        <w:t>月</w:t>
      </w:r>
    </w:p>
    <w:p>
      <w:pPr>
        <w:spacing w:line="360" w:lineRule="auto"/>
        <w:jc w:val="center"/>
        <w:rPr>
          <w:rFonts w:ascii="Times New Roman" w:hAnsi="Times New Roman" w:eastAsia="楷体_GB2312"/>
          <w:b/>
          <w:sz w:val="28"/>
          <w:szCs w:val="28"/>
        </w:rPr>
      </w:pPr>
    </w:p>
    <w:p>
      <w:pPr>
        <w:spacing w:line="360" w:lineRule="auto"/>
        <w:jc w:val="center"/>
        <w:rPr>
          <w:rFonts w:ascii="Times New Roman" w:hAnsi="Times New Roman" w:eastAsia="黑体"/>
          <w:sz w:val="28"/>
          <w:szCs w:val="28"/>
        </w:rPr>
        <w:sectPr>
          <w:pgSz w:w="11906" w:h="16838"/>
          <w:pgMar w:top="1418" w:right="1418" w:bottom="1985" w:left="1797" w:header="851" w:footer="992" w:gutter="0"/>
          <w:cols w:space="720" w:num="1"/>
          <w:docGrid w:linePitch="312" w:charSpace="0"/>
        </w:sectPr>
      </w:pPr>
    </w:p>
    <w:p>
      <w:pPr>
        <w:spacing w:before="480" w:beforeLines="200" w:after="480" w:afterLines="200"/>
        <w:jc w:val="center"/>
        <w:rPr>
          <w:rFonts w:ascii="Times New Roman" w:hAnsi="Times New Roman" w:eastAsia="黑体"/>
          <w:sz w:val="28"/>
          <w:szCs w:val="28"/>
        </w:rPr>
      </w:pPr>
      <w:r>
        <w:rPr>
          <w:rFonts w:ascii="Times New Roman" w:hAnsi="Times New Roman" w:eastAsia="黑体"/>
          <w:sz w:val="28"/>
          <w:szCs w:val="28"/>
        </w:rPr>
        <w:t>目  录</w:t>
      </w:r>
    </w:p>
    <w:p>
      <w:pPr>
        <w:pStyle w:val="10"/>
        <w:tabs>
          <w:tab w:val="right" w:leader="dot" w:pos="8691"/>
        </w:tabs>
        <w:spacing w:line="480" w:lineRule="auto"/>
        <w:rPr>
          <w:rFonts w:ascii="Times New Roman" w:hAnsi="Times New Roman" w:eastAsia="黑体"/>
          <w:sz w:val="28"/>
          <w:szCs w:val="28"/>
        </w:rPr>
      </w:pPr>
      <w:r>
        <w:rPr>
          <w:rFonts w:ascii="Times New Roman" w:hAnsi="Times New Roman" w:eastAsia="黑体"/>
          <w:sz w:val="28"/>
          <w:szCs w:val="28"/>
        </w:rPr>
        <w:fldChar w:fldCharType="begin"/>
      </w:r>
      <w:r>
        <w:rPr>
          <w:rFonts w:ascii="Times New Roman" w:hAnsi="Times New Roman" w:eastAsia="黑体"/>
          <w:sz w:val="28"/>
          <w:szCs w:val="28"/>
        </w:rPr>
        <w:instrText xml:space="preserve">TOC \o "1-1" \h \u </w:instrText>
      </w:r>
      <w:r>
        <w:rPr>
          <w:rFonts w:ascii="Times New Roman" w:hAnsi="Times New Roman" w:eastAsia="黑体"/>
          <w:sz w:val="28"/>
          <w:szCs w:val="28"/>
        </w:rPr>
        <w:fldChar w:fldCharType="separate"/>
      </w:r>
      <w:r>
        <w:fldChar w:fldCharType="begin"/>
      </w:r>
      <w:r>
        <w:instrText xml:space="preserve"> HYPERLINK \l "_Toc19956" </w:instrText>
      </w:r>
      <w:r>
        <w:fldChar w:fldCharType="separate"/>
      </w:r>
      <w:r>
        <w:rPr>
          <w:rFonts w:ascii="Times New Roman" w:hAnsi="Times New Roman" w:eastAsia="黑体"/>
          <w:sz w:val="28"/>
          <w:szCs w:val="28"/>
        </w:rPr>
        <w:t>一、工作简况</w:t>
      </w:r>
      <w:r>
        <w:rPr>
          <w:rFonts w:ascii="Times New Roman" w:hAnsi="Times New Roman" w:eastAsia="黑体"/>
          <w:sz w:val="28"/>
          <w:szCs w:val="28"/>
        </w:rPr>
        <w:tab/>
      </w:r>
      <w:r>
        <w:rPr>
          <w:rFonts w:hint="eastAsia" w:ascii="Times New Roman" w:hAnsi="Times New Roman" w:eastAsia="黑体"/>
          <w:sz w:val="28"/>
          <w:szCs w:val="28"/>
        </w:rPr>
        <w:t>1</w:t>
      </w:r>
      <w:r>
        <w:rPr>
          <w:rFonts w:hint="eastAsia" w:ascii="Times New Roman" w:hAnsi="Times New Roman" w:eastAsia="黑体"/>
          <w:sz w:val="28"/>
          <w:szCs w:val="28"/>
        </w:rPr>
        <w:fldChar w:fldCharType="end"/>
      </w:r>
    </w:p>
    <w:p>
      <w:pPr>
        <w:pStyle w:val="10"/>
        <w:tabs>
          <w:tab w:val="right" w:leader="dot" w:pos="8691"/>
        </w:tabs>
        <w:spacing w:line="480" w:lineRule="auto"/>
        <w:rPr>
          <w:rFonts w:ascii="Times New Roman" w:hAnsi="Times New Roman" w:eastAsia="黑体"/>
          <w:sz w:val="28"/>
          <w:szCs w:val="28"/>
        </w:rPr>
      </w:pPr>
      <w:r>
        <w:fldChar w:fldCharType="begin"/>
      </w:r>
      <w:r>
        <w:instrText xml:space="preserve"> HYPERLINK \l "_Toc16067" </w:instrText>
      </w:r>
      <w:r>
        <w:fldChar w:fldCharType="separate"/>
      </w:r>
      <w:r>
        <w:rPr>
          <w:rFonts w:ascii="Times New Roman" w:hAnsi="Times New Roman" w:eastAsia="黑体"/>
          <w:sz w:val="28"/>
          <w:szCs w:val="28"/>
        </w:rPr>
        <w:t>二、标准编制原则和主要内容</w:t>
      </w:r>
      <w:r>
        <w:rPr>
          <w:rFonts w:ascii="Times New Roman" w:hAnsi="Times New Roman" w:eastAsia="黑体"/>
          <w:sz w:val="28"/>
          <w:szCs w:val="28"/>
        </w:rPr>
        <w:tab/>
      </w:r>
      <w:r>
        <w:rPr>
          <w:rFonts w:hint="eastAsia" w:ascii="Times New Roman" w:hAnsi="Times New Roman" w:eastAsia="黑体"/>
          <w:sz w:val="28"/>
          <w:szCs w:val="28"/>
        </w:rPr>
        <w:t>3</w:t>
      </w:r>
      <w:r>
        <w:rPr>
          <w:rFonts w:hint="eastAsia" w:ascii="Times New Roman" w:hAnsi="Times New Roman" w:eastAsia="黑体"/>
          <w:sz w:val="28"/>
          <w:szCs w:val="28"/>
        </w:rPr>
        <w:fldChar w:fldCharType="end"/>
      </w:r>
    </w:p>
    <w:p>
      <w:pPr>
        <w:pStyle w:val="10"/>
        <w:tabs>
          <w:tab w:val="right" w:leader="dot" w:pos="8691"/>
        </w:tabs>
        <w:spacing w:line="480" w:lineRule="auto"/>
        <w:rPr>
          <w:rFonts w:ascii="Times New Roman" w:hAnsi="Times New Roman" w:eastAsia="黑体"/>
          <w:sz w:val="28"/>
          <w:szCs w:val="28"/>
        </w:rPr>
      </w:pPr>
      <w:r>
        <w:fldChar w:fldCharType="begin"/>
      </w:r>
      <w:r>
        <w:instrText xml:space="preserve"> HYPERLINK \l "_Toc12675" </w:instrText>
      </w:r>
      <w:r>
        <w:fldChar w:fldCharType="separate"/>
      </w:r>
      <w:r>
        <w:rPr>
          <w:rFonts w:ascii="Times New Roman" w:hAnsi="Times New Roman" w:eastAsia="黑体"/>
          <w:kern w:val="0"/>
          <w:sz w:val="28"/>
          <w:szCs w:val="28"/>
        </w:rPr>
        <w:t>三、主要试验和情况分析</w:t>
      </w:r>
      <w:r>
        <w:rPr>
          <w:rFonts w:ascii="Times New Roman" w:hAnsi="Times New Roman" w:eastAsia="黑体"/>
          <w:sz w:val="28"/>
          <w:szCs w:val="28"/>
        </w:rPr>
        <w:tab/>
      </w:r>
      <w:r>
        <w:rPr>
          <w:rFonts w:hint="eastAsia" w:ascii="Times New Roman" w:hAnsi="Times New Roman" w:eastAsia="黑体"/>
          <w:sz w:val="28"/>
          <w:szCs w:val="28"/>
        </w:rPr>
        <w:t>4</w:t>
      </w:r>
      <w:r>
        <w:rPr>
          <w:rFonts w:hint="eastAsia" w:ascii="Times New Roman" w:hAnsi="Times New Roman" w:eastAsia="黑体"/>
          <w:sz w:val="28"/>
          <w:szCs w:val="28"/>
        </w:rPr>
        <w:fldChar w:fldCharType="end"/>
      </w:r>
    </w:p>
    <w:p>
      <w:pPr>
        <w:pStyle w:val="10"/>
        <w:tabs>
          <w:tab w:val="right" w:leader="dot" w:pos="8691"/>
        </w:tabs>
        <w:spacing w:line="480" w:lineRule="auto"/>
        <w:rPr>
          <w:rFonts w:ascii="Times New Roman" w:hAnsi="Times New Roman" w:eastAsia="黑体"/>
          <w:sz w:val="28"/>
          <w:szCs w:val="28"/>
        </w:rPr>
      </w:pPr>
      <w:r>
        <w:fldChar w:fldCharType="begin"/>
      </w:r>
      <w:r>
        <w:instrText xml:space="preserve"> HYPERLINK \l "_Toc20840" </w:instrText>
      </w:r>
      <w:r>
        <w:fldChar w:fldCharType="separate"/>
      </w:r>
      <w:r>
        <w:rPr>
          <w:rFonts w:ascii="Times New Roman" w:hAnsi="Times New Roman" w:eastAsia="黑体"/>
          <w:kern w:val="0"/>
          <w:sz w:val="28"/>
          <w:szCs w:val="28"/>
        </w:rPr>
        <w:t>四、标准中涉及专利的情况</w:t>
      </w:r>
      <w:r>
        <w:rPr>
          <w:rFonts w:ascii="Times New Roman" w:hAnsi="Times New Roman" w:eastAsia="黑体"/>
          <w:sz w:val="28"/>
          <w:szCs w:val="28"/>
        </w:rPr>
        <w:tab/>
      </w:r>
      <w:r>
        <w:rPr>
          <w:rFonts w:hint="eastAsia" w:ascii="Times New Roman" w:hAnsi="Times New Roman" w:eastAsia="黑体"/>
          <w:sz w:val="28"/>
          <w:szCs w:val="28"/>
        </w:rPr>
        <w:t>4</w:t>
      </w:r>
      <w:r>
        <w:rPr>
          <w:rFonts w:hint="eastAsia" w:ascii="Times New Roman" w:hAnsi="Times New Roman" w:eastAsia="黑体"/>
          <w:sz w:val="28"/>
          <w:szCs w:val="28"/>
        </w:rPr>
        <w:fldChar w:fldCharType="end"/>
      </w:r>
    </w:p>
    <w:p>
      <w:pPr>
        <w:pStyle w:val="10"/>
        <w:tabs>
          <w:tab w:val="right" w:leader="dot" w:pos="8691"/>
        </w:tabs>
        <w:spacing w:line="480" w:lineRule="auto"/>
        <w:rPr>
          <w:rFonts w:ascii="Times New Roman" w:hAnsi="Times New Roman" w:eastAsia="黑体"/>
          <w:sz w:val="28"/>
          <w:szCs w:val="28"/>
        </w:rPr>
      </w:pPr>
      <w:r>
        <w:fldChar w:fldCharType="begin"/>
      </w:r>
      <w:r>
        <w:instrText xml:space="preserve"> HYPERLINK \l "_Toc29243" </w:instrText>
      </w:r>
      <w:r>
        <w:fldChar w:fldCharType="separate"/>
      </w:r>
      <w:r>
        <w:rPr>
          <w:rFonts w:ascii="Times New Roman" w:hAnsi="Times New Roman" w:eastAsia="黑体"/>
          <w:kern w:val="0"/>
          <w:sz w:val="28"/>
          <w:szCs w:val="28"/>
        </w:rPr>
        <w:t>五、预期达到的效益（经济、效益、生态等），对产业发展的作用的情况</w:t>
      </w:r>
      <w:r>
        <w:rPr>
          <w:rFonts w:ascii="Times New Roman" w:hAnsi="Times New Roman" w:eastAsia="黑体"/>
          <w:sz w:val="28"/>
          <w:szCs w:val="28"/>
        </w:rPr>
        <w:tab/>
      </w:r>
      <w:r>
        <w:rPr>
          <w:rFonts w:hint="eastAsia" w:ascii="Times New Roman" w:hAnsi="Times New Roman" w:eastAsia="黑体"/>
          <w:sz w:val="28"/>
          <w:szCs w:val="28"/>
        </w:rPr>
        <w:t>4</w:t>
      </w:r>
      <w:r>
        <w:rPr>
          <w:rFonts w:hint="eastAsia" w:ascii="Times New Roman" w:hAnsi="Times New Roman" w:eastAsia="黑体"/>
          <w:sz w:val="28"/>
          <w:szCs w:val="28"/>
        </w:rPr>
        <w:fldChar w:fldCharType="end"/>
      </w:r>
    </w:p>
    <w:p>
      <w:pPr>
        <w:pStyle w:val="10"/>
        <w:tabs>
          <w:tab w:val="right" w:leader="dot" w:pos="8691"/>
        </w:tabs>
        <w:spacing w:line="480" w:lineRule="auto"/>
        <w:rPr>
          <w:rFonts w:ascii="Times New Roman" w:hAnsi="Times New Roman" w:eastAsia="黑体"/>
          <w:sz w:val="28"/>
          <w:szCs w:val="28"/>
        </w:rPr>
      </w:pPr>
      <w:r>
        <w:fldChar w:fldCharType="begin"/>
      </w:r>
      <w:r>
        <w:instrText xml:space="preserve"> HYPERLINK \l "_Toc4979" </w:instrText>
      </w:r>
      <w:r>
        <w:fldChar w:fldCharType="separate"/>
      </w:r>
      <w:r>
        <w:rPr>
          <w:rFonts w:ascii="Times New Roman" w:hAnsi="Times New Roman" w:eastAsia="黑体"/>
          <w:kern w:val="0"/>
          <w:sz w:val="28"/>
          <w:szCs w:val="28"/>
        </w:rPr>
        <w:t>六、与有关的现行法律、法规和强制性国家标准的关系</w:t>
      </w:r>
      <w:r>
        <w:rPr>
          <w:rFonts w:ascii="Times New Roman" w:hAnsi="Times New Roman" w:eastAsia="黑体"/>
          <w:sz w:val="28"/>
          <w:szCs w:val="28"/>
        </w:rPr>
        <w:tab/>
      </w:r>
      <w:r>
        <w:rPr>
          <w:rFonts w:hint="eastAsia" w:ascii="Times New Roman" w:hAnsi="Times New Roman" w:eastAsia="黑体"/>
          <w:sz w:val="28"/>
          <w:szCs w:val="28"/>
        </w:rPr>
        <w:t>4</w:t>
      </w:r>
      <w:r>
        <w:rPr>
          <w:rFonts w:hint="eastAsia" w:ascii="Times New Roman" w:hAnsi="Times New Roman" w:eastAsia="黑体"/>
          <w:sz w:val="28"/>
          <w:szCs w:val="28"/>
        </w:rPr>
        <w:fldChar w:fldCharType="end"/>
      </w:r>
    </w:p>
    <w:p>
      <w:pPr>
        <w:pStyle w:val="10"/>
        <w:tabs>
          <w:tab w:val="right" w:leader="dot" w:pos="8691"/>
        </w:tabs>
        <w:spacing w:line="480" w:lineRule="auto"/>
        <w:rPr>
          <w:rFonts w:ascii="Times New Roman" w:hAnsi="Times New Roman" w:eastAsia="黑体"/>
          <w:sz w:val="28"/>
          <w:szCs w:val="28"/>
        </w:rPr>
      </w:pPr>
      <w:r>
        <w:fldChar w:fldCharType="begin"/>
      </w:r>
      <w:r>
        <w:instrText xml:space="preserve"> HYPERLINK \l "_Toc21799" </w:instrText>
      </w:r>
      <w:r>
        <w:fldChar w:fldCharType="separate"/>
      </w:r>
      <w:r>
        <w:rPr>
          <w:rFonts w:ascii="Times New Roman" w:hAnsi="Times New Roman" w:eastAsia="黑体"/>
          <w:kern w:val="0"/>
          <w:sz w:val="28"/>
          <w:szCs w:val="28"/>
        </w:rPr>
        <w:t>七、重大意见分歧的处理依据和结果</w:t>
      </w:r>
      <w:r>
        <w:rPr>
          <w:rFonts w:ascii="Times New Roman" w:hAnsi="Times New Roman" w:eastAsia="黑体"/>
          <w:sz w:val="28"/>
          <w:szCs w:val="28"/>
        </w:rPr>
        <w:tab/>
      </w:r>
      <w:r>
        <w:rPr>
          <w:rFonts w:hint="eastAsia" w:ascii="Times New Roman" w:hAnsi="Times New Roman" w:eastAsia="黑体"/>
          <w:sz w:val="28"/>
          <w:szCs w:val="28"/>
        </w:rPr>
        <w:t>4</w:t>
      </w:r>
      <w:r>
        <w:rPr>
          <w:rFonts w:hint="eastAsia" w:ascii="Times New Roman" w:hAnsi="Times New Roman" w:eastAsia="黑体"/>
          <w:sz w:val="28"/>
          <w:szCs w:val="28"/>
        </w:rPr>
        <w:fldChar w:fldCharType="end"/>
      </w:r>
    </w:p>
    <w:p>
      <w:pPr>
        <w:pStyle w:val="10"/>
        <w:tabs>
          <w:tab w:val="right" w:leader="dot" w:pos="8691"/>
        </w:tabs>
        <w:spacing w:line="480" w:lineRule="auto"/>
        <w:rPr>
          <w:rFonts w:ascii="Times New Roman" w:hAnsi="Times New Roman" w:eastAsia="黑体"/>
          <w:sz w:val="28"/>
          <w:szCs w:val="28"/>
        </w:rPr>
      </w:pPr>
      <w:r>
        <w:fldChar w:fldCharType="begin"/>
      </w:r>
      <w:r>
        <w:instrText xml:space="preserve"> HYPERLINK \l "_Toc20135" </w:instrText>
      </w:r>
      <w:r>
        <w:fldChar w:fldCharType="separate"/>
      </w:r>
      <w:r>
        <w:rPr>
          <w:rFonts w:ascii="Times New Roman" w:hAnsi="Times New Roman" w:eastAsia="黑体"/>
          <w:kern w:val="0"/>
          <w:sz w:val="28"/>
          <w:szCs w:val="28"/>
        </w:rPr>
        <w:t>八、标准性质的建议说明</w:t>
      </w:r>
      <w:r>
        <w:rPr>
          <w:rFonts w:ascii="Times New Roman" w:hAnsi="Times New Roman" w:eastAsia="黑体"/>
          <w:sz w:val="28"/>
          <w:szCs w:val="28"/>
        </w:rPr>
        <w:tab/>
      </w:r>
      <w:r>
        <w:rPr>
          <w:rFonts w:hint="eastAsia" w:ascii="Times New Roman" w:hAnsi="Times New Roman" w:eastAsia="黑体"/>
          <w:sz w:val="28"/>
          <w:szCs w:val="28"/>
        </w:rPr>
        <w:t>4</w:t>
      </w:r>
      <w:r>
        <w:rPr>
          <w:rFonts w:hint="eastAsia" w:ascii="Times New Roman" w:hAnsi="Times New Roman" w:eastAsia="黑体"/>
          <w:sz w:val="28"/>
          <w:szCs w:val="28"/>
        </w:rPr>
        <w:fldChar w:fldCharType="end"/>
      </w:r>
    </w:p>
    <w:p>
      <w:pPr>
        <w:pStyle w:val="10"/>
        <w:tabs>
          <w:tab w:val="right" w:leader="dot" w:pos="8691"/>
        </w:tabs>
        <w:spacing w:line="480" w:lineRule="auto"/>
        <w:rPr>
          <w:rFonts w:ascii="Times New Roman" w:hAnsi="Times New Roman" w:eastAsia="黑体"/>
          <w:sz w:val="28"/>
          <w:szCs w:val="28"/>
        </w:rPr>
      </w:pPr>
      <w:r>
        <w:fldChar w:fldCharType="begin"/>
      </w:r>
      <w:r>
        <w:instrText xml:space="preserve"> HYPERLINK \l "_Toc23106" </w:instrText>
      </w:r>
      <w:r>
        <w:fldChar w:fldCharType="separate"/>
      </w:r>
      <w:r>
        <w:rPr>
          <w:rFonts w:ascii="Times New Roman" w:hAnsi="Times New Roman" w:eastAsia="黑体"/>
          <w:kern w:val="0"/>
          <w:sz w:val="28"/>
          <w:szCs w:val="28"/>
        </w:rPr>
        <w:t>九、贯彻标准的要求和措施建议</w:t>
      </w:r>
      <w:r>
        <w:rPr>
          <w:rFonts w:ascii="Times New Roman" w:hAnsi="Times New Roman" w:eastAsia="黑体"/>
          <w:sz w:val="28"/>
          <w:szCs w:val="28"/>
        </w:rPr>
        <w:tab/>
      </w:r>
      <w:r>
        <w:rPr>
          <w:rFonts w:hint="eastAsia" w:ascii="Times New Roman" w:hAnsi="Times New Roman" w:eastAsia="黑体"/>
          <w:sz w:val="28"/>
          <w:szCs w:val="28"/>
        </w:rPr>
        <w:t>4</w:t>
      </w:r>
      <w:r>
        <w:rPr>
          <w:rFonts w:hint="eastAsia" w:ascii="Times New Roman" w:hAnsi="Times New Roman" w:eastAsia="黑体"/>
          <w:sz w:val="28"/>
          <w:szCs w:val="28"/>
        </w:rPr>
        <w:fldChar w:fldCharType="end"/>
      </w:r>
    </w:p>
    <w:p>
      <w:pPr>
        <w:pStyle w:val="10"/>
        <w:tabs>
          <w:tab w:val="right" w:leader="dot" w:pos="8691"/>
        </w:tabs>
        <w:spacing w:line="480" w:lineRule="auto"/>
        <w:rPr>
          <w:rFonts w:ascii="Times New Roman" w:hAnsi="Times New Roman" w:eastAsia="黑体"/>
          <w:sz w:val="28"/>
          <w:szCs w:val="28"/>
        </w:rPr>
      </w:pPr>
      <w:r>
        <w:fldChar w:fldCharType="begin"/>
      </w:r>
      <w:r>
        <w:instrText xml:space="preserve"> HYPERLINK \l "_Toc29517" </w:instrText>
      </w:r>
      <w:r>
        <w:fldChar w:fldCharType="separate"/>
      </w:r>
      <w:r>
        <w:rPr>
          <w:rFonts w:ascii="Times New Roman" w:hAnsi="Times New Roman" w:eastAsia="黑体"/>
          <w:kern w:val="0"/>
          <w:sz w:val="28"/>
          <w:szCs w:val="28"/>
        </w:rPr>
        <w:t>十、废止现行相关标准的建议</w:t>
      </w:r>
      <w:r>
        <w:rPr>
          <w:rFonts w:ascii="Times New Roman" w:hAnsi="Times New Roman" w:eastAsia="黑体"/>
          <w:sz w:val="28"/>
          <w:szCs w:val="28"/>
        </w:rPr>
        <w:tab/>
      </w:r>
      <w:r>
        <w:rPr>
          <w:rFonts w:hint="eastAsia" w:ascii="Times New Roman" w:hAnsi="Times New Roman" w:eastAsia="黑体"/>
          <w:sz w:val="28"/>
          <w:szCs w:val="28"/>
        </w:rPr>
        <w:t>4</w:t>
      </w:r>
      <w:r>
        <w:rPr>
          <w:rFonts w:hint="eastAsia" w:ascii="Times New Roman" w:hAnsi="Times New Roman" w:eastAsia="黑体"/>
          <w:sz w:val="28"/>
          <w:szCs w:val="28"/>
        </w:rPr>
        <w:fldChar w:fldCharType="end"/>
      </w:r>
    </w:p>
    <w:p>
      <w:pPr>
        <w:pStyle w:val="10"/>
        <w:tabs>
          <w:tab w:val="right" w:leader="dot" w:pos="8691"/>
        </w:tabs>
        <w:spacing w:line="480" w:lineRule="auto"/>
        <w:rPr>
          <w:rFonts w:ascii="Times New Roman" w:hAnsi="Times New Roman" w:eastAsia="黑体"/>
          <w:sz w:val="28"/>
          <w:szCs w:val="28"/>
        </w:rPr>
        <w:sectPr>
          <w:footerReference r:id="rId3" w:type="default"/>
          <w:pgSz w:w="11906" w:h="16838"/>
          <w:pgMar w:top="1418" w:right="1418" w:bottom="1985" w:left="1797" w:header="851" w:footer="992" w:gutter="0"/>
          <w:pgNumType w:start="1"/>
          <w:cols w:space="720" w:num="1"/>
          <w:docGrid w:linePitch="312" w:charSpace="0"/>
        </w:sectPr>
      </w:pPr>
      <w:r>
        <w:fldChar w:fldCharType="begin"/>
      </w:r>
      <w:r>
        <w:instrText xml:space="preserve"> HYPERLINK \l "_Toc18435" </w:instrText>
      </w:r>
      <w:r>
        <w:fldChar w:fldCharType="separate"/>
      </w:r>
      <w:r>
        <w:rPr>
          <w:rFonts w:ascii="Times New Roman" w:hAnsi="Times New Roman" w:eastAsia="黑体"/>
          <w:kern w:val="0"/>
          <w:sz w:val="28"/>
          <w:szCs w:val="28"/>
        </w:rPr>
        <w:t>十一、其他应予说明的事项</w:t>
      </w:r>
      <w:r>
        <w:rPr>
          <w:rFonts w:ascii="Times New Roman" w:hAnsi="Times New Roman" w:eastAsia="黑体"/>
          <w:sz w:val="28"/>
          <w:szCs w:val="28"/>
        </w:rPr>
        <w:tab/>
      </w:r>
      <w:r>
        <w:rPr>
          <w:rFonts w:hint="eastAsia" w:ascii="Times New Roman" w:hAnsi="Times New Roman" w:eastAsia="黑体"/>
          <w:sz w:val="28"/>
          <w:szCs w:val="28"/>
        </w:rPr>
        <w:t>4</w:t>
      </w:r>
      <w:r>
        <w:rPr>
          <w:rFonts w:hint="eastAsia" w:ascii="Times New Roman" w:hAnsi="Times New Roman" w:eastAsia="黑体"/>
          <w:sz w:val="28"/>
          <w:szCs w:val="28"/>
        </w:rPr>
        <w:fldChar w:fldCharType="end"/>
      </w:r>
      <w:r>
        <w:rPr>
          <w:rFonts w:ascii="Times New Roman" w:hAnsi="Times New Roman" w:eastAsia="黑体"/>
          <w:sz w:val="28"/>
          <w:szCs w:val="28"/>
        </w:rPr>
        <w:fldChar w:fldCharType="end"/>
      </w:r>
    </w:p>
    <w:p>
      <w:pPr>
        <w:spacing w:line="540" w:lineRule="exact"/>
        <w:rPr>
          <w:b/>
          <w:sz w:val="28"/>
          <w:szCs w:val="28"/>
        </w:rPr>
      </w:pPr>
      <w:r>
        <w:rPr>
          <w:rFonts w:hint="eastAsia"/>
          <w:b/>
          <w:sz w:val="28"/>
          <w:szCs w:val="28"/>
        </w:rPr>
        <w:t>一、</w:t>
      </w:r>
      <w:r>
        <w:rPr>
          <w:b/>
          <w:sz w:val="28"/>
          <w:szCs w:val="28"/>
        </w:rPr>
        <w:t>工作简况</w:t>
      </w:r>
    </w:p>
    <w:p>
      <w:pPr>
        <w:spacing w:line="540" w:lineRule="exact"/>
        <w:rPr>
          <w:rFonts w:ascii="Times New Roman" w:hAnsi="Times New Roman"/>
          <w:b/>
          <w:kern w:val="0"/>
          <w:sz w:val="28"/>
          <w:szCs w:val="28"/>
        </w:rPr>
      </w:pPr>
      <w:r>
        <w:rPr>
          <w:rFonts w:hint="eastAsia" w:ascii="Times New Roman" w:hAnsi="Times New Roman"/>
          <w:b/>
          <w:kern w:val="0"/>
          <w:sz w:val="28"/>
          <w:szCs w:val="28"/>
        </w:rPr>
        <w:t>（一）任务来源</w:t>
      </w:r>
    </w:p>
    <w:p>
      <w:pPr>
        <w:spacing w:line="540" w:lineRule="exact"/>
        <w:ind w:firstLine="560" w:firstLineChars="200"/>
        <w:rPr>
          <w:rFonts w:ascii="宋体" w:hAnsi="宋体"/>
          <w:kern w:val="0"/>
          <w:sz w:val="28"/>
          <w:szCs w:val="28"/>
        </w:rPr>
      </w:pPr>
      <w:r>
        <w:rPr>
          <w:rFonts w:hint="eastAsia" w:ascii="宋体" w:hAnsi="宋体"/>
          <w:kern w:val="0"/>
          <w:sz w:val="28"/>
          <w:szCs w:val="28"/>
        </w:rPr>
        <w:t>根据“广东省特种设备行业协会团体标准《干式接头》等立项公告”，《干式接头》列入广东省特种设备行业协会团体制定计划，由广东泰恩流体控制设备有限公司、美泰行（江门）工业装备有限公司、广州市海湾达石油设备有限公司、广东西杰流体控制设备有限公司等单位共同制定该标准。</w:t>
      </w:r>
    </w:p>
    <w:p>
      <w:pPr>
        <w:spacing w:line="540" w:lineRule="exact"/>
        <w:rPr>
          <w:rFonts w:ascii="Times New Roman" w:hAnsi="Times New Roman"/>
          <w:b/>
          <w:kern w:val="0"/>
          <w:sz w:val="28"/>
          <w:szCs w:val="28"/>
        </w:rPr>
      </w:pPr>
      <w:r>
        <w:rPr>
          <w:rFonts w:ascii="Times New Roman" w:hAnsi="Times New Roman"/>
          <w:b/>
          <w:kern w:val="0"/>
          <w:sz w:val="28"/>
          <w:szCs w:val="28"/>
        </w:rPr>
        <w:t>（二）编制背景及目的</w:t>
      </w:r>
    </w:p>
    <w:p>
      <w:pPr>
        <w:spacing w:line="540" w:lineRule="exact"/>
        <w:ind w:firstLine="560" w:firstLineChars="200"/>
        <w:rPr>
          <w:rFonts w:hint="eastAsia" w:ascii="Times New Roman" w:hAnsi="Times New Roman"/>
          <w:kern w:val="0"/>
          <w:sz w:val="28"/>
          <w:szCs w:val="28"/>
        </w:rPr>
      </w:pPr>
      <w:r>
        <w:rPr>
          <w:rFonts w:hint="eastAsia" w:ascii="Times New Roman" w:hAnsi="Times New Roman"/>
          <w:kern w:val="0"/>
          <w:sz w:val="28"/>
          <w:szCs w:val="28"/>
        </w:rPr>
        <w:t>在石化等行业的的生产中，原料及中间产品多以流体形式存在。具有流动特性的流体包括可压缩的气体和难以压缩的液体，而这些物料都通过管道和相关设备来完成输送，安全稳定的流体运输在多领域起到十分重要的作用。干式接头是一种两端带有阀芯结构的产品，是专为外溢会造成污染、难于清理、或者对人体或环境有害的介质输送而设计的一种快速连接方式。作为安全便捷的流体部件，应用在装卸软管和管道连接的节点上，可实现带压状态下的迅速连接和断开，这一特性令其广泛应用在各类腐蚀性、毒性、爆炸性等危险介质管路，帮助实现装卸料位置的清洁环保，降低高危介质与人员接触的几率，大幅提升接驳速度，减轻操作强度，防止危化品泄漏造成人员伤害和环境破坏。</w:t>
      </w:r>
    </w:p>
    <w:p>
      <w:pPr>
        <w:spacing w:line="540" w:lineRule="exact"/>
        <w:ind w:firstLine="560" w:firstLineChars="200"/>
        <w:rPr>
          <w:rFonts w:hint="eastAsia" w:ascii="Times New Roman" w:hAnsi="Times New Roman"/>
          <w:kern w:val="0"/>
          <w:sz w:val="28"/>
          <w:szCs w:val="28"/>
        </w:rPr>
      </w:pPr>
      <w:r>
        <w:rPr>
          <w:rFonts w:hint="eastAsia" w:ascii="Times New Roman" w:hAnsi="Times New Roman"/>
          <w:kern w:val="0"/>
          <w:sz w:val="28"/>
          <w:szCs w:val="28"/>
        </w:rPr>
        <w:t>目前现有产品，在流体物料装卸过程中，往往会出现流体管道接驳时物料少量外泄的现象，外泄物料会对操作人员和环境产生危害；泄漏后没有及时发现也会产生经济损失；化学品领域使用中发生泄漏存在潜在化学反应后导致燃烧，带来爆炸安全隐患。甚至某些化学品剧毒，会严重威胁周边操作人员生命健康。</w:t>
      </w:r>
    </w:p>
    <w:p>
      <w:pPr>
        <w:spacing w:line="540" w:lineRule="exact"/>
        <w:ind w:firstLine="560" w:firstLineChars="200"/>
        <w:rPr>
          <w:rFonts w:hint="eastAsia" w:ascii="Times New Roman" w:hAnsi="Times New Roman"/>
          <w:kern w:val="0"/>
          <w:sz w:val="28"/>
          <w:szCs w:val="28"/>
        </w:rPr>
      </w:pPr>
      <w:r>
        <w:rPr>
          <w:rFonts w:hint="eastAsia" w:ascii="Times New Roman" w:hAnsi="Times New Roman"/>
          <w:kern w:val="0"/>
          <w:sz w:val="28"/>
          <w:szCs w:val="28"/>
        </w:rPr>
        <w:t>针对现有技术的不足，为解决上述问题，本项目产品进行了针对性改进。本项目产品结构紧凑稳固，可进行双重保险，且避免管道内残留物料向外挥发，能够保护环境和人员安全，因此本项目产品能够广泛应用于船舶对接、海上平台、化工厂、槽罐车、火车装卸方面。</w:t>
      </w:r>
    </w:p>
    <w:p>
      <w:pPr>
        <w:spacing w:line="540" w:lineRule="exact"/>
        <w:ind w:firstLine="560" w:firstLineChars="200"/>
        <w:rPr>
          <w:rFonts w:ascii="Times New Roman" w:hAnsi="Times New Roman"/>
          <w:kern w:val="0"/>
          <w:sz w:val="28"/>
          <w:szCs w:val="28"/>
        </w:rPr>
      </w:pPr>
      <w:r>
        <w:rPr>
          <w:rFonts w:hint="eastAsia" w:ascii="Times New Roman" w:hAnsi="Times New Roman"/>
          <w:kern w:val="0"/>
          <w:sz w:val="28"/>
          <w:szCs w:val="28"/>
        </w:rPr>
        <w:t>本项目旨在借助标准化手段，对干式接头进行技术规范，提升干式接头产品品质及供应能力，扩充干式接头产能，以响应干式接头下游市场日益增长的使用需求。同时进一步促进产业标准化应用水平升级，以期推动行业的高质量发展。</w:t>
      </w:r>
    </w:p>
    <w:p>
      <w:pPr>
        <w:spacing w:line="540" w:lineRule="exact"/>
        <w:rPr>
          <w:rFonts w:ascii="Times New Roman" w:hAnsi="Times New Roman"/>
          <w:b/>
          <w:kern w:val="0"/>
          <w:sz w:val="28"/>
          <w:szCs w:val="28"/>
        </w:rPr>
      </w:pPr>
      <w:r>
        <w:rPr>
          <w:rFonts w:hint="eastAsia" w:ascii="Times New Roman" w:hAnsi="Times New Roman"/>
          <w:b/>
          <w:kern w:val="0"/>
          <w:sz w:val="28"/>
          <w:szCs w:val="28"/>
        </w:rPr>
        <w:t>（三）主要工作过程</w:t>
      </w:r>
    </w:p>
    <w:p>
      <w:pPr>
        <w:spacing w:line="540" w:lineRule="exact"/>
        <w:rPr>
          <w:rFonts w:ascii="Times New Roman" w:hAnsi="Times New Roman"/>
          <w:b/>
          <w:kern w:val="0"/>
          <w:sz w:val="28"/>
          <w:szCs w:val="28"/>
        </w:rPr>
      </w:pPr>
      <w:r>
        <w:rPr>
          <w:rFonts w:hint="eastAsia" w:ascii="Times New Roman" w:hAnsi="Times New Roman"/>
          <w:b/>
          <w:kern w:val="0"/>
          <w:sz w:val="28"/>
          <w:szCs w:val="28"/>
        </w:rPr>
        <w:t>1、起草阶段</w:t>
      </w:r>
    </w:p>
    <w:p>
      <w:pPr>
        <w:spacing w:line="540" w:lineRule="exact"/>
        <w:ind w:firstLine="560" w:firstLineChars="200"/>
        <w:rPr>
          <w:rFonts w:ascii="宋体" w:hAnsi="宋体"/>
          <w:kern w:val="0"/>
          <w:sz w:val="28"/>
          <w:szCs w:val="28"/>
        </w:rPr>
      </w:pPr>
      <w:r>
        <w:rPr>
          <w:rFonts w:hint="eastAsia" w:ascii="宋体" w:hAnsi="宋体"/>
          <w:kern w:val="0"/>
          <w:sz w:val="28"/>
          <w:szCs w:val="28"/>
        </w:rPr>
        <w:t>2023年7月，广东泰恩流体控制设备有限公司、美泰行（江门）工业装备有限公司、广州市海湾达石油设备有限公司、广东西杰流体控制设备有限公司按照“广东省特种设备行业协会团体标准《干式接头》等立项公告”的要求，成立了标准起草工作组。</w:t>
      </w:r>
    </w:p>
    <w:p>
      <w:pPr>
        <w:spacing w:line="540" w:lineRule="exact"/>
        <w:ind w:firstLine="560" w:firstLineChars="200"/>
        <w:rPr>
          <w:rFonts w:ascii="宋体" w:hAnsi="宋体"/>
          <w:kern w:val="0"/>
          <w:sz w:val="28"/>
          <w:szCs w:val="28"/>
        </w:rPr>
      </w:pPr>
      <w:r>
        <w:rPr>
          <w:rFonts w:hint="eastAsia" w:ascii="宋体" w:hAnsi="宋体"/>
          <w:kern w:val="0"/>
          <w:sz w:val="28"/>
          <w:szCs w:val="28"/>
        </w:rPr>
        <w:t>工作组对国内外干式接头的现状与发展情况进行了全面调研，同时广泛搜集和检索了干式接头的技术资料，并进行了大量的研制、试验及验证。在此基础上编制了《干式接头》标准草案。</w:t>
      </w:r>
    </w:p>
    <w:p>
      <w:pPr>
        <w:spacing w:line="540" w:lineRule="exact"/>
        <w:rPr>
          <w:rFonts w:ascii="Times New Roman" w:hAnsi="Times New Roman"/>
          <w:b/>
          <w:kern w:val="0"/>
          <w:sz w:val="28"/>
          <w:szCs w:val="28"/>
        </w:rPr>
      </w:pPr>
      <w:r>
        <w:rPr>
          <w:rFonts w:hint="eastAsia" w:ascii="Times New Roman" w:hAnsi="Times New Roman"/>
          <w:b/>
          <w:kern w:val="0"/>
          <w:sz w:val="28"/>
          <w:szCs w:val="28"/>
        </w:rPr>
        <w:t>2、征求意见阶段</w:t>
      </w:r>
    </w:p>
    <w:p>
      <w:pPr>
        <w:spacing w:line="540" w:lineRule="exact"/>
        <w:ind w:firstLine="560" w:firstLineChars="200"/>
        <w:rPr>
          <w:rFonts w:ascii="宋体" w:hAnsi="宋体"/>
          <w:kern w:val="0"/>
          <w:sz w:val="28"/>
          <w:szCs w:val="28"/>
        </w:rPr>
      </w:pPr>
      <w:r>
        <w:rPr>
          <w:rFonts w:hint="eastAsia" w:ascii="宋体" w:hAnsi="宋体"/>
          <w:kern w:val="0"/>
          <w:sz w:val="28"/>
          <w:szCs w:val="28"/>
        </w:rPr>
        <w:t>形成标准草案稿之后，起草组召开了多次专家研讨会，从标准框架、标准起草等角度广泛征求多方意见， 从理论完善和实践应用方面提升标准的适用性和实用性。经过理论研究和方法验证，明确和规范干式接头的技术要求。于2023年7月提交《干式接头》标准征求意见稿及征求意见稿编制说明，拟定于2023年8月初网上公示征求意见稿，广泛征求各方意见和建议。</w:t>
      </w:r>
    </w:p>
    <w:p>
      <w:pPr>
        <w:spacing w:line="540" w:lineRule="exact"/>
        <w:jc w:val="left"/>
        <w:rPr>
          <w:rFonts w:ascii="Times New Roman" w:hAnsi="Times New Roman"/>
          <w:b/>
          <w:kern w:val="0"/>
          <w:sz w:val="28"/>
          <w:szCs w:val="28"/>
        </w:rPr>
      </w:pPr>
      <w:r>
        <w:rPr>
          <w:rFonts w:hint="eastAsia" w:ascii="Times New Roman" w:hAnsi="Times New Roman"/>
          <w:b/>
          <w:kern w:val="0"/>
          <w:sz w:val="28"/>
          <w:szCs w:val="28"/>
        </w:rPr>
        <w:t>3、专家审核阶段</w:t>
      </w:r>
    </w:p>
    <w:p>
      <w:pPr>
        <w:spacing w:line="540" w:lineRule="exact"/>
        <w:ind w:firstLine="560" w:firstLineChars="200"/>
        <w:jc w:val="left"/>
        <w:rPr>
          <w:rFonts w:ascii="宋体" w:hAnsi="宋体"/>
          <w:kern w:val="0"/>
          <w:sz w:val="28"/>
          <w:szCs w:val="28"/>
        </w:rPr>
      </w:pPr>
      <w:r>
        <w:rPr>
          <w:rFonts w:hint="eastAsia" w:ascii="宋体" w:hAnsi="宋体"/>
          <w:kern w:val="0"/>
          <w:sz w:val="28"/>
          <w:szCs w:val="28"/>
        </w:rPr>
        <w:t>拟定于2023年8月召集专家审核标准，汇总专家审核意见之后，修改标准并发布。</w:t>
      </w:r>
    </w:p>
    <w:p>
      <w:pPr>
        <w:spacing w:line="540" w:lineRule="exact"/>
        <w:rPr>
          <w:rStyle w:val="50"/>
          <w:rFonts w:hint="default"/>
          <w:b/>
          <w:color w:val="auto"/>
        </w:rPr>
      </w:pPr>
      <w:r>
        <w:rPr>
          <w:rStyle w:val="50"/>
          <w:rFonts w:hint="default"/>
          <w:b/>
          <w:color w:val="auto"/>
        </w:rPr>
        <w:t>（四）主要起草单位及起草人所做的工作</w:t>
      </w:r>
    </w:p>
    <w:p>
      <w:pPr>
        <w:spacing w:line="540" w:lineRule="exact"/>
        <w:ind w:firstLine="560" w:firstLineChars="200"/>
        <w:rPr>
          <w:rFonts w:ascii="Times New Roman" w:hAnsi="Times New Roman"/>
          <w:kern w:val="0"/>
          <w:sz w:val="28"/>
          <w:szCs w:val="28"/>
        </w:rPr>
      </w:pPr>
      <w:r>
        <w:rPr>
          <w:rFonts w:hint="eastAsia" w:ascii="Times New Roman" w:hAnsi="Times New Roman"/>
          <w:kern w:val="0"/>
          <w:sz w:val="28"/>
          <w:szCs w:val="28"/>
        </w:rPr>
        <w:t>本文件由</w:t>
      </w:r>
      <w:r>
        <w:rPr>
          <w:rFonts w:hint="eastAsia" w:ascii="宋体" w:hAnsi="宋体"/>
          <w:kern w:val="0"/>
          <w:sz w:val="28"/>
          <w:szCs w:val="28"/>
        </w:rPr>
        <w:t>广东泰恩流体控制设备有限公司、美泰行（江门）工业装备有限公司、广州市海湾达石油设备有限公司、广东西杰流体控制设备有限公司</w:t>
      </w:r>
      <w:r>
        <w:rPr>
          <w:rFonts w:hint="eastAsia" w:ascii="Times New Roman" w:hAnsi="Times New Roman"/>
          <w:kern w:val="0"/>
          <w:sz w:val="28"/>
          <w:szCs w:val="28"/>
        </w:rPr>
        <w:t>等负责起草。</w:t>
      </w:r>
    </w:p>
    <w:p>
      <w:pPr>
        <w:spacing w:line="540" w:lineRule="exact"/>
        <w:ind w:firstLine="560" w:firstLineChars="200"/>
        <w:rPr>
          <w:rFonts w:ascii="Times New Roman" w:hAnsi="Times New Roman"/>
          <w:kern w:val="0"/>
          <w:sz w:val="28"/>
          <w:szCs w:val="28"/>
        </w:rPr>
      </w:pPr>
      <w:r>
        <w:rPr>
          <w:rFonts w:hint="eastAsia" w:ascii="Times New Roman" w:hAnsi="Times New Roman"/>
          <w:kern w:val="0"/>
          <w:sz w:val="28"/>
          <w:szCs w:val="28"/>
        </w:rPr>
        <w:t>主要成员</w:t>
      </w:r>
      <w:r>
        <w:rPr>
          <w:rFonts w:hint="eastAsia" w:ascii="Times New Roman" w:hAnsi="Times New Roman"/>
          <w:kern w:val="0"/>
          <w:sz w:val="28"/>
          <w:szCs w:val="28"/>
          <w:lang w:eastAsia="zh-CN"/>
        </w:rPr>
        <w:t>：</w:t>
      </w:r>
      <w:r>
        <w:rPr>
          <w:rFonts w:hint="eastAsia" w:ascii="Times New Roman" w:hAnsi="Times New Roman"/>
          <w:kern w:val="0"/>
          <w:sz w:val="28"/>
          <w:szCs w:val="28"/>
          <w:lang w:val="en-US" w:eastAsia="zh-CN"/>
        </w:rPr>
        <w:t>高仁军、张冕、范明华、王熙勇</w:t>
      </w:r>
      <w:r>
        <w:rPr>
          <w:rFonts w:hint="eastAsia" w:ascii="Times New Roman" w:hAnsi="Times New Roman"/>
          <w:kern w:val="0"/>
          <w:sz w:val="28"/>
          <w:szCs w:val="28"/>
        </w:rPr>
        <w:t>。</w:t>
      </w:r>
    </w:p>
    <w:p>
      <w:pPr>
        <w:spacing w:line="540" w:lineRule="exact"/>
        <w:ind w:firstLine="560" w:firstLineChars="200"/>
        <w:rPr>
          <w:rFonts w:ascii="Times New Roman" w:hAnsi="Times New Roman"/>
          <w:kern w:val="0"/>
          <w:sz w:val="28"/>
          <w:szCs w:val="28"/>
        </w:rPr>
      </w:pPr>
      <w:r>
        <w:rPr>
          <w:rFonts w:hint="eastAsia" w:ascii="Times New Roman" w:hAnsi="Times New Roman"/>
          <w:kern w:val="0"/>
          <w:sz w:val="28"/>
          <w:szCs w:val="28"/>
        </w:rPr>
        <w:t>所做的工作：标准工</w:t>
      </w:r>
      <w:bookmarkStart w:id="0" w:name="_GoBack"/>
      <w:bookmarkEnd w:id="0"/>
      <w:r>
        <w:rPr>
          <w:rFonts w:hint="eastAsia" w:ascii="Times New Roman" w:hAnsi="Times New Roman"/>
          <w:kern w:val="0"/>
          <w:sz w:val="28"/>
          <w:szCs w:val="28"/>
        </w:rPr>
        <w:t>作的总体策划、组织；立项及协调工作组工作；标准文本及编制说明的起草和编写；协助标准文本及编制说明的编写；对国内外相关标准的调研和搜集；对</w:t>
      </w:r>
      <w:r>
        <w:rPr>
          <w:rFonts w:hint="eastAsia" w:ascii="宋体" w:hAnsi="宋体"/>
          <w:kern w:val="0"/>
          <w:sz w:val="28"/>
          <w:szCs w:val="28"/>
        </w:rPr>
        <w:t>干式接头的</w:t>
      </w:r>
      <w:r>
        <w:rPr>
          <w:rFonts w:hint="eastAsia" w:ascii="Times New Roman" w:hAnsi="Times New Roman"/>
          <w:kern w:val="0"/>
          <w:sz w:val="28"/>
          <w:szCs w:val="28"/>
        </w:rPr>
        <w:t>技术要求和试验方法的测试及验证等。</w:t>
      </w:r>
    </w:p>
    <w:p>
      <w:pPr>
        <w:spacing w:line="540" w:lineRule="exact"/>
        <w:rPr>
          <w:rFonts w:ascii="Times New Roman" w:hAnsi="Times New Roman"/>
          <w:b/>
          <w:kern w:val="0"/>
          <w:sz w:val="28"/>
          <w:szCs w:val="28"/>
        </w:rPr>
      </w:pPr>
      <w:r>
        <w:rPr>
          <w:rFonts w:hint="eastAsia" w:ascii="Times New Roman" w:hAnsi="Times New Roman"/>
          <w:b/>
          <w:kern w:val="0"/>
          <w:sz w:val="28"/>
          <w:szCs w:val="28"/>
        </w:rPr>
        <w:t>二、标准编制原则和主要内容</w:t>
      </w:r>
    </w:p>
    <w:p>
      <w:pPr>
        <w:spacing w:line="540" w:lineRule="exact"/>
        <w:rPr>
          <w:rFonts w:ascii="Times New Roman" w:hAnsi="Times New Roman"/>
          <w:b/>
          <w:kern w:val="0"/>
          <w:sz w:val="28"/>
          <w:szCs w:val="28"/>
        </w:rPr>
      </w:pPr>
      <w:r>
        <w:rPr>
          <w:rFonts w:ascii="Times New Roman" w:hAnsi="Times New Roman"/>
          <w:b/>
          <w:kern w:val="0"/>
          <w:sz w:val="28"/>
          <w:szCs w:val="28"/>
        </w:rPr>
        <w:t>（一）标准制定原则</w:t>
      </w:r>
    </w:p>
    <w:p>
      <w:pPr>
        <w:spacing w:line="540" w:lineRule="exact"/>
        <w:ind w:firstLine="560" w:firstLineChars="200"/>
        <w:rPr>
          <w:rFonts w:ascii="宋体" w:hAnsi="宋体"/>
          <w:kern w:val="0"/>
          <w:sz w:val="28"/>
          <w:szCs w:val="28"/>
        </w:rPr>
      </w:pPr>
      <w:r>
        <w:rPr>
          <w:rFonts w:hint="eastAsia" w:ascii="宋体" w:hAnsi="宋体"/>
          <w:kern w:val="0"/>
          <w:sz w:val="28"/>
          <w:szCs w:val="28"/>
        </w:rPr>
        <w:t>本文件的制定符合产业发展和市场需要原则，本着先进性、科学性、合理性、可操作性、适用性、一致性和规范性原则来进行本文件的制定。</w:t>
      </w:r>
    </w:p>
    <w:p>
      <w:pPr>
        <w:spacing w:line="540" w:lineRule="exact"/>
        <w:ind w:firstLine="560" w:firstLineChars="200"/>
        <w:rPr>
          <w:rFonts w:ascii="宋体" w:hAnsi="宋体"/>
          <w:kern w:val="0"/>
          <w:sz w:val="28"/>
          <w:szCs w:val="28"/>
        </w:rPr>
      </w:pPr>
      <w:r>
        <w:rPr>
          <w:rFonts w:hint="eastAsia" w:ascii="宋体" w:hAnsi="宋体"/>
          <w:kern w:val="0"/>
          <w:sz w:val="28"/>
          <w:szCs w:val="28"/>
        </w:rPr>
        <w:t>本文件起草过程中，主要按照GB/T 1.1-2020《标准化工作导则第1部分：标准化文件的结构和起草规则》进行编写。本文件制定过程中，主要参考了以下标准或文件。</w:t>
      </w:r>
    </w:p>
    <w:p>
      <w:pPr>
        <w:spacing w:line="540" w:lineRule="exact"/>
        <w:rPr>
          <w:rFonts w:hint="eastAsia" w:ascii="宋体" w:hAnsi="宋体"/>
          <w:kern w:val="0"/>
          <w:sz w:val="28"/>
          <w:szCs w:val="28"/>
        </w:rPr>
      </w:pPr>
      <w:r>
        <w:rPr>
          <w:rFonts w:hint="eastAsia" w:ascii="宋体" w:hAnsi="宋体"/>
          <w:kern w:val="0"/>
          <w:sz w:val="28"/>
          <w:szCs w:val="28"/>
        </w:rPr>
        <w:t>GB/T 230.1  金属材料  洛氏硬度试验  第 1 部分：试验方法</w:t>
      </w:r>
    </w:p>
    <w:p>
      <w:pPr>
        <w:spacing w:line="540" w:lineRule="exact"/>
        <w:rPr>
          <w:rFonts w:hint="eastAsia" w:ascii="宋体" w:hAnsi="宋体"/>
          <w:kern w:val="0"/>
          <w:sz w:val="28"/>
          <w:szCs w:val="28"/>
        </w:rPr>
      </w:pPr>
      <w:r>
        <w:rPr>
          <w:rFonts w:hint="eastAsia" w:ascii="宋体" w:hAnsi="宋体"/>
          <w:kern w:val="0"/>
          <w:sz w:val="28"/>
          <w:szCs w:val="28"/>
        </w:rPr>
        <w:t>GB 528  硫化橡胶或热塑性橡胶  拉伸应力应变性能的测定</w:t>
      </w:r>
    </w:p>
    <w:p>
      <w:pPr>
        <w:spacing w:line="540" w:lineRule="exact"/>
        <w:rPr>
          <w:rFonts w:hint="eastAsia" w:ascii="宋体" w:hAnsi="宋体"/>
          <w:kern w:val="0"/>
          <w:sz w:val="28"/>
          <w:szCs w:val="28"/>
        </w:rPr>
      </w:pPr>
      <w:r>
        <w:rPr>
          <w:rFonts w:hint="eastAsia" w:ascii="宋体" w:hAnsi="宋体"/>
          <w:kern w:val="0"/>
          <w:sz w:val="28"/>
          <w:szCs w:val="28"/>
        </w:rPr>
        <w:t>GB 1682  硫化橡胶  低温脆性的测定  单试样法</w:t>
      </w:r>
    </w:p>
    <w:p>
      <w:pPr>
        <w:spacing w:line="540" w:lineRule="exact"/>
        <w:rPr>
          <w:rFonts w:hint="eastAsia" w:ascii="宋体" w:hAnsi="宋体"/>
          <w:kern w:val="0"/>
          <w:sz w:val="28"/>
          <w:szCs w:val="28"/>
        </w:rPr>
      </w:pPr>
      <w:r>
        <w:rPr>
          <w:rFonts w:hint="eastAsia" w:ascii="宋体" w:hAnsi="宋体"/>
          <w:kern w:val="0"/>
          <w:sz w:val="28"/>
          <w:szCs w:val="28"/>
        </w:rPr>
        <w:t>GB 1690  硫化橡胶或热塑性橡胶  耐液体试验方法</w:t>
      </w:r>
    </w:p>
    <w:p>
      <w:pPr>
        <w:spacing w:line="540" w:lineRule="exact"/>
        <w:rPr>
          <w:rFonts w:hint="eastAsia" w:ascii="宋体" w:hAnsi="宋体"/>
          <w:kern w:val="0"/>
          <w:sz w:val="28"/>
          <w:szCs w:val="28"/>
        </w:rPr>
      </w:pPr>
      <w:r>
        <w:rPr>
          <w:rFonts w:hint="eastAsia" w:ascii="宋体" w:hAnsi="宋体"/>
          <w:kern w:val="0"/>
          <w:sz w:val="28"/>
          <w:szCs w:val="28"/>
        </w:rPr>
        <w:t>GB 3512  硫化橡胶或热塑性橡胶  热空气加速老化和耐热试验</w:t>
      </w:r>
    </w:p>
    <w:p>
      <w:pPr>
        <w:spacing w:line="540" w:lineRule="exact"/>
        <w:rPr>
          <w:rFonts w:hint="eastAsia" w:ascii="宋体" w:hAnsi="宋体"/>
          <w:kern w:val="0"/>
          <w:sz w:val="28"/>
          <w:szCs w:val="28"/>
        </w:rPr>
      </w:pPr>
      <w:r>
        <w:rPr>
          <w:rFonts w:hint="eastAsia" w:ascii="宋体" w:hAnsi="宋体"/>
          <w:kern w:val="0"/>
          <w:sz w:val="28"/>
          <w:szCs w:val="28"/>
        </w:rPr>
        <w:t>GB/T 2828.1  计数抽样检验程序  第 1 部分：按接收质量限(AQL)检索的逐批检验抽样计划</w:t>
      </w:r>
    </w:p>
    <w:p>
      <w:pPr>
        <w:spacing w:line="540" w:lineRule="exact"/>
        <w:rPr>
          <w:rFonts w:hint="eastAsia" w:ascii="宋体" w:hAnsi="宋体"/>
          <w:kern w:val="0"/>
          <w:sz w:val="28"/>
          <w:szCs w:val="28"/>
        </w:rPr>
      </w:pPr>
      <w:r>
        <w:rPr>
          <w:rFonts w:hint="eastAsia" w:ascii="宋体" w:hAnsi="宋体"/>
          <w:kern w:val="0"/>
          <w:sz w:val="28"/>
          <w:szCs w:val="28"/>
        </w:rPr>
        <w:t>GB/T 5861  液压快换接头  试验方法</w:t>
      </w:r>
    </w:p>
    <w:p>
      <w:pPr>
        <w:spacing w:line="540" w:lineRule="exact"/>
        <w:rPr>
          <w:rFonts w:hint="eastAsia" w:ascii="宋体" w:hAnsi="宋体"/>
          <w:kern w:val="0"/>
          <w:sz w:val="28"/>
          <w:szCs w:val="28"/>
        </w:rPr>
      </w:pPr>
      <w:r>
        <w:rPr>
          <w:rFonts w:hint="eastAsia" w:ascii="宋体" w:hAnsi="宋体"/>
          <w:kern w:val="0"/>
          <w:sz w:val="28"/>
          <w:szCs w:val="28"/>
        </w:rPr>
        <w:t>GB 6414  铸件  尺寸公差、几何公差与机械加工余量</w:t>
      </w:r>
    </w:p>
    <w:p>
      <w:pPr>
        <w:spacing w:line="540" w:lineRule="exact"/>
        <w:rPr>
          <w:rFonts w:hint="eastAsia" w:ascii="宋体" w:hAnsi="宋体"/>
          <w:kern w:val="0"/>
          <w:sz w:val="28"/>
          <w:szCs w:val="28"/>
        </w:rPr>
      </w:pPr>
      <w:r>
        <w:rPr>
          <w:rFonts w:hint="eastAsia" w:ascii="宋体" w:hAnsi="宋体"/>
          <w:kern w:val="0"/>
          <w:sz w:val="28"/>
          <w:szCs w:val="28"/>
        </w:rPr>
        <w:t>GB/T 10125  人造气氛腐蚀试验  盐雾试验</w:t>
      </w:r>
    </w:p>
    <w:p>
      <w:pPr>
        <w:spacing w:line="540" w:lineRule="exact"/>
        <w:rPr>
          <w:rFonts w:hint="eastAsia" w:ascii="宋体" w:hAnsi="宋体"/>
          <w:kern w:val="0"/>
          <w:sz w:val="28"/>
          <w:szCs w:val="28"/>
        </w:rPr>
      </w:pPr>
      <w:r>
        <w:rPr>
          <w:rFonts w:hint="eastAsia" w:ascii="宋体" w:hAnsi="宋体"/>
          <w:kern w:val="0"/>
          <w:sz w:val="28"/>
          <w:szCs w:val="28"/>
        </w:rPr>
        <w:t>GB/T 13927  工业阀门  压力试验</w:t>
      </w:r>
    </w:p>
    <w:p>
      <w:pPr>
        <w:spacing w:line="540" w:lineRule="exact"/>
        <w:rPr>
          <w:rFonts w:hint="eastAsia" w:ascii="宋体" w:hAnsi="宋体"/>
          <w:kern w:val="0"/>
          <w:sz w:val="28"/>
          <w:szCs w:val="28"/>
        </w:rPr>
      </w:pPr>
      <w:r>
        <w:rPr>
          <w:rFonts w:hint="eastAsia" w:ascii="宋体" w:hAnsi="宋体"/>
          <w:kern w:val="0"/>
          <w:sz w:val="28"/>
          <w:szCs w:val="28"/>
        </w:rPr>
        <w:t>GB/T 17446  流体传动系统及元件  词汇</w:t>
      </w:r>
    </w:p>
    <w:p>
      <w:pPr>
        <w:spacing w:line="540" w:lineRule="exact"/>
        <w:rPr>
          <w:rFonts w:ascii="Times New Roman" w:hAnsi="Times New Roman"/>
          <w:b/>
          <w:kern w:val="0"/>
          <w:sz w:val="28"/>
          <w:szCs w:val="28"/>
        </w:rPr>
      </w:pPr>
      <w:r>
        <w:rPr>
          <w:rFonts w:hint="eastAsia" w:ascii="Times New Roman" w:hAnsi="Times New Roman"/>
          <w:b/>
          <w:kern w:val="0"/>
          <w:sz w:val="28"/>
          <w:szCs w:val="28"/>
        </w:rPr>
        <w:t>（二）标准主要技术内容</w:t>
      </w:r>
    </w:p>
    <w:p>
      <w:pPr>
        <w:spacing w:line="540" w:lineRule="exact"/>
        <w:ind w:firstLine="560" w:firstLineChars="200"/>
        <w:rPr>
          <w:rFonts w:ascii="Times New Roman" w:hAnsi="Times New Roman"/>
          <w:kern w:val="0"/>
          <w:sz w:val="28"/>
          <w:szCs w:val="28"/>
        </w:rPr>
      </w:pPr>
      <w:r>
        <w:rPr>
          <w:rFonts w:hint="eastAsia" w:ascii="Times New Roman" w:hAnsi="Times New Roman"/>
          <w:kern w:val="0"/>
          <w:sz w:val="28"/>
          <w:szCs w:val="28"/>
        </w:rPr>
        <w:t>根据</w:t>
      </w:r>
      <w:r>
        <w:rPr>
          <w:rFonts w:hint="eastAsia" w:ascii="宋体" w:hAnsi="宋体"/>
          <w:kern w:val="0"/>
          <w:sz w:val="28"/>
          <w:szCs w:val="28"/>
        </w:rPr>
        <w:t>干式接头的技术现状</w:t>
      </w:r>
      <w:r>
        <w:rPr>
          <w:rFonts w:hint="eastAsia" w:ascii="Times New Roman" w:hAnsi="Times New Roman"/>
          <w:kern w:val="0"/>
          <w:sz w:val="28"/>
          <w:szCs w:val="28"/>
        </w:rPr>
        <w:t>，确定本文件主要技术内容。</w:t>
      </w:r>
    </w:p>
    <w:p>
      <w:pPr>
        <w:numPr>
          <w:ilvl w:val="0"/>
          <w:numId w:val="8"/>
        </w:numPr>
        <w:spacing w:line="540" w:lineRule="exact"/>
        <w:rPr>
          <w:rFonts w:ascii="Times New Roman" w:hAnsi="Times New Roman"/>
          <w:kern w:val="0"/>
          <w:sz w:val="28"/>
          <w:szCs w:val="28"/>
        </w:rPr>
      </w:pPr>
      <w:r>
        <w:rPr>
          <w:rFonts w:hint="eastAsia" w:ascii="Times New Roman" w:hAnsi="Times New Roman"/>
          <w:kern w:val="0"/>
          <w:sz w:val="28"/>
          <w:szCs w:val="28"/>
        </w:rPr>
        <w:t>范围</w:t>
      </w:r>
    </w:p>
    <w:p>
      <w:pPr>
        <w:spacing w:line="540" w:lineRule="exact"/>
        <w:ind w:left="980"/>
        <w:rPr>
          <w:rFonts w:ascii="Times New Roman" w:hAnsi="Times New Roman"/>
          <w:kern w:val="0"/>
          <w:sz w:val="28"/>
          <w:szCs w:val="28"/>
        </w:rPr>
      </w:pPr>
      <w:r>
        <w:rPr>
          <w:rFonts w:hint="eastAsia" w:ascii="Times New Roman" w:hAnsi="Times New Roman"/>
          <w:kern w:val="0"/>
          <w:sz w:val="28"/>
          <w:szCs w:val="28"/>
        </w:rPr>
        <w:t>介绍本文件的主要内容以及本文件所适用的领域。</w:t>
      </w:r>
    </w:p>
    <w:p>
      <w:pPr>
        <w:numPr>
          <w:ilvl w:val="0"/>
          <w:numId w:val="8"/>
        </w:numPr>
        <w:spacing w:line="540" w:lineRule="exact"/>
        <w:rPr>
          <w:rFonts w:ascii="Times New Roman" w:hAnsi="Times New Roman"/>
          <w:kern w:val="0"/>
          <w:sz w:val="28"/>
          <w:szCs w:val="28"/>
        </w:rPr>
      </w:pPr>
      <w:r>
        <w:rPr>
          <w:rFonts w:hint="eastAsia" w:ascii="Times New Roman" w:hAnsi="Times New Roman"/>
          <w:kern w:val="0"/>
          <w:sz w:val="28"/>
          <w:szCs w:val="28"/>
        </w:rPr>
        <w:t>规范性引用文件</w:t>
      </w:r>
    </w:p>
    <w:p>
      <w:pPr>
        <w:spacing w:line="540" w:lineRule="exact"/>
        <w:ind w:left="980"/>
        <w:rPr>
          <w:rFonts w:ascii="Times New Roman" w:hAnsi="Times New Roman"/>
          <w:kern w:val="0"/>
          <w:sz w:val="28"/>
          <w:szCs w:val="28"/>
        </w:rPr>
      </w:pPr>
      <w:r>
        <w:rPr>
          <w:rFonts w:hint="eastAsia" w:ascii="Times New Roman" w:hAnsi="Times New Roman"/>
          <w:kern w:val="0"/>
          <w:sz w:val="28"/>
          <w:szCs w:val="28"/>
        </w:rPr>
        <w:t>列出了本文件引用的标准文件。</w:t>
      </w:r>
    </w:p>
    <w:p>
      <w:pPr>
        <w:numPr>
          <w:ilvl w:val="0"/>
          <w:numId w:val="8"/>
        </w:numPr>
        <w:spacing w:line="540" w:lineRule="exact"/>
        <w:rPr>
          <w:rFonts w:ascii="Times New Roman" w:hAnsi="Times New Roman"/>
          <w:kern w:val="0"/>
          <w:sz w:val="28"/>
          <w:szCs w:val="28"/>
        </w:rPr>
      </w:pPr>
      <w:r>
        <w:rPr>
          <w:rFonts w:hint="eastAsia" w:ascii="Times New Roman" w:hAnsi="Times New Roman"/>
          <w:kern w:val="0"/>
          <w:sz w:val="28"/>
          <w:szCs w:val="28"/>
        </w:rPr>
        <w:t>术语和定义</w:t>
      </w:r>
    </w:p>
    <w:p>
      <w:pPr>
        <w:spacing w:line="540" w:lineRule="exact"/>
        <w:ind w:left="980"/>
        <w:rPr>
          <w:rFonts w:ascii="Times New Roman" w:hAnsi="Times New Roman"/>
          <w:kern w:val="0"/>
          <w:sz w:val="28"/>
          <w:szCs w:val="28"/>
        </w:rPr>
      </w:pPr>
      <w:r>
        <w:rPr>
          <w:rFonts w:hint="eastAsia" w:ascii="Times New Roman" w:hAnsi="Times New Roman"/>
          <w:kern w:val="0"/>
          <w:sz w:val="28"/>
          <w:szCs w:val="28"/>
        </w:rPr>
        <w:t>列出了本文件所界定的术语和定义。</w:t>
      </w:r>
    </w:p>
    <w:p>
      <w:pPr>
        <w:numPr>
          <w:ilvl w:val="0"/>
          <w:numId w:val="8"/>
        </w:numPr>
        <w:spacing w:line="540" w:lineRule="exact"/>
        <w:rPr>
          <w:rFonts w:ascii="Times New Roman" w:hAnsi="Times New Roman"/>
          <w:kern w:val="0"/>
          <w:sz w:val="28"/>
          <w:szCs w:val="28"/>
        </w:rPr>
      </w:pPr>
      <w:r>
        <w:rPr>
          <w:rFonts w:hint="eastAsia" w:ascii="Times New Roman" w:hAnsi="Times New Roman"/>
          <w:kern w:val="0"/>
          <w:sz w:val="28"/>
          <w:szCs w:val="28"/>
        </w:rPr>
        <w:t>结构和尺寸</w:t>
      </w:r>
    </w:p>
    <w:p>
      <w:pPr>
        <w:spacing w:line="540" w:lineRule="exact"/>
        <w:ind w:left="560"/>
        <w:rPr>
          <w:rFonts w:ascii="Times New Roman" w:hAnsi="Times New Roman"/>
          <w:kern w:val="0"/>
          <w:sz w:val="28"/>
          <w:szCs w:val="28"/>
        </w:rPr>
      </w:pPr>
      <w:r>
        <w:rPr>
          <w:rFonts w:hint="eastAsia" w:ascii="Times New Roman" w:hAnsi="Times New Roman"/>
          <w:kern w:val="0"/>
          <w:sz w:val="28"/>
          <w:szCs w:val="28"/>
        </w:rPr>
        <w:t>以图示明确了了产品的结构组成及规定了干式接头公称通径对应配用的软管内径的尺寸。</w:t>
      </w:r>
    </w:p>
    <w:p>
      <w:pPr>
        <w:numPr>
          <w:ilvl w:val="0"/>
          <w:numId w:val="8"/>
        </w:numPr>
        <w:spacing w:line="540" w:lineRule="exact"/>
        <w:rPr>
          <w:rFonts w:ascii="Times New Roman" w:hAnsi="Times New Roman"/>
          <w:kern w:val="0"/>
          <w:sz w:val="28"/>
          <w:szCs w:val="28"/>
        </w:rPr>
      </w:pPr>
      <w:r>
        <w:rPr>
          <w:rFonts w:hint="eastAsia" w:ascii="Times New Roman" w:hAnsi="Times New Roman"/>
          <w:kern w:val="0"/>
          <w:sz w:val="28"/>
          <w:szCs w:val="28"/>
        </w:rPr>
        <w:t>基本要求</w:t>
      </w:r>
    </w:p>
    <w:p>
      <w:pPr>
        <w:spacing w:line="540" w:lineRule="exact"/>
        <w:ind w:left="980"/>
        <w:rPr>
          <w:rFonts w:ascii="Times New Roman" w:hAnsi="Times New Roman"/>
          <w:kern w:val="0"/>
          <w:sz w:val="28"/>
          <w:szCs w:val="28"/>
        </w:rPr>
      </w:pPr>
      <w:r>
        <w:rPr>
          <w:rFonts w:hint="eastAsia" w:ascii="Times New Roman" w:hAnsi="Times New Roman"/>
          <w:kern w:val="0"/>
          <w:sz w:val="28"/>
          <w:szCs w:val="28"/>
        </w:rPr>
        <w:t>规定了干式接头设计研发和原材料相关内容。</w:t>
      </w:r>
    </w:p>
    <w:p>
      <w:pPr>
        <w:numPr>
          <w:ilvl w:val="0"/>
          <w:numId w:val="8"/>
        </w:numPr>
        <w:spacing w:line="540" w:lineRule="exact"/>
        <w:rPr>
          <w:rFonts w:hint="eastAsia" w:ascii="Times New Roman" w:hAnsi="Times New Roman"/>
          <w:kern w:val="0"/>
          <w:sz w:val="28"/>
          <w:szCs w:val="28"/>
        </w:rPr>
      </w:pPr>
      <w:r>
        <w:rPr>
          <w:rFonts w:hint="eastAsia" w:ascii="Times New Roman" w:hAnsi="Times New Roman"/>
          <w:kern w:val="0"/>
          <w:sz w:val="28"/>
          <w:szCs w:val="28"/>
        </w:rPr>
        <w:t>技术要求</w:t>
      </w:r>
    </w:p>
    <w:p>
      <w:pPr>
        <w:spacing w:line="540" w:lineRule="exact"/>
        <w:ind w:left="980"/>
        <w:rPr>
          <w:rFonts w:hint="eastAsia" w:ascii="Times New Roman" w:hAnsi="Times New Roman"/>
          <w:kern w:val="0"/>
          <w:sz w:val="28"/>
          <w:szCs w:val="28"/>
        </w:rPr>
      </w:pPr>
      <w:r>
        <w:rPr>
          <w:rFonts w:hint="eastAsia" w:ascii="Times New Roman" w:hAnsi="Times New Roman"/>
          <w:kern w:val="0"/>
          <w:sz w:val="28"/>
          <w:szCs w:val="28"/>
        </w:rPr>
        <w:t>对干式接头的外观、尺寸公差、粗糙度、接头硬度、密封圈性能、耐腐蚀性、壳体硬度、密封性、耐久性做出了技术要求。</w:t>
      </w:r>
    </w:p>
    <w:p>
      <w:pPr>
        <w:numPr>
          <w:ilvl w:val="0"/>
          <w:numId w:val="8"/>
        </w:numPr>
        <w:spacing w:line="540" w:lineRule="exact"/>
        <w:rPr>
          <w:rFonts w:ascii="Times New Roman" w:hAnsi="Times New Roman"/>
          <w:kern w:val="0"/>
          <w:sz w:val="28"/>
          <w:szCs w:val="28"/>
        </w:rPr>
      </w:pPr>
      <w:r>
        <w:rPr>
          <w:rFonts w:hint="eastAsia" w:ascii="Times New Roman" w:hAnsi="Times New Roman"/>
          <w:kern w:val="0"/>
          <w:sz w:val="28"/>
          <w:szCs w:val="28"/>
        </w:rPr>
        <w:t>试验方法</w:t>
      </w:r>
    </w:p>
    <w:p>
      <w:pPr>
        <w:spacing w:line="540" w:lineRule="exact"/>
        <w:ind w:left="980"/>
        <w:rPr>
          <w:rFonts w:ascii="Times New Roman" w:hAnsi="Times New Roman"/>
          <w:kern w:val="0"/>
          <w:sz w:val="28"/>
          <w:szCs w:val="28"/>
        </w:rPr>
      </w:pPr>
      <w:r>
        <w:rPr>
          <w:rFonts w:hint="eastAsia" w:ascii="Times New Roman" w:hAnsi="Times New Roman"/>
          <w:kern w:val="0"/>
          <w:sz w:val="28"/>
          <w:szCs w:val="28"/>
        </w:rPr>
        <w:t>介绍了与技术要求相对应的检验方法。</w:t>
      </w:r>
    </w:p>
    <w:p>
      <w:pPr>
        <w:numPr>
          <w:ilvl w:val="0"/>
          <w:numId w:val="8"/>
        </w:numPr>
        <w:spacing w:line="540" w:lineRule="exact"/>
        <w:rPr>
          <w:rFonts w:ascii="Times New Roman" w:hAnsi="Times New Roman"/>
          <w:kern w:val="0"/>
          <w:sz w:val="28"/>
          <w:szCs w:val="28"/>
        </w:rPr>
      </w:pPr>
      <w:r>
        <w:rPr>
          <w:rFonts w:hint="eastAsia" w:ascii="Times New Roman" w:hAnsi="Times New Roman"/>
          <w:kern w:val="0"/>
          <w:sz w:val="28"/>
          <w:szCs w:val="28"/>
        </w:rPr>
        <w:t>检验规则</w:t>
      </w:r>
    </w:p>
    <w:p>
      <w:pPr>
        <w:spacing w:line="540" w:lineRule="exact"/>
        <w:ind w:left="980"/>
        <w:jc w:val="left"/>
        <w:rPr>
          <w:rFonts w:ascii="Times New Roman" w:hAnsi="Times New Roman"/>
          <w:kern w:val="0"/>
          <w:sz w:val="28"/>
          <w:szCs w:val="28"/>
        </w:rPr>
      </w:pPr>
      <w:r>
        <w:rPr>
          <w:rFonts w:hint="eastAsia" w:ascii="Times New Roman" w:hAnsi="Times New Roman"/>
          <w:kern w:val="0"/>
          <w:sz w:val="28"/>
          <w:szCs w:val="28"/>
        </w:rPr>
        <w:t>界定了干式接头的出厂检验和型式检验的规则。</w:t>
      </w:r>
    </w:p>
    <w:p>
      <w:pPr>
        <w:numPr>
          <w:ilvl w:val="0"/>
          <w:numId w:val="8"/>
        </w:numPr>
        <w:spacing w:line="540" w:lineRule="exact"/>
        <w:rPr>
          <w:rFonts w:ascii="Times New Roman" w:hAnsi="Times New Roman"/>
          <w:kern w:val="0"/>
          <w:sz w:val="28"/>
          <w:szCs w:val="28"/>
        </w:rPr>
      </w:pPr>
      <w:r>
        <w:rPr>
          <w:rFonts w:hint="eastAsia" w:ascii="Times New Roman" w:hAnsi="Times New Roman"/>
          <w:kern w:val="0"/>
          <w:sz w:val="28"/>
          <w:szCs w:val="28"/>
        </w:rPr>
        <w:t>标志、包装、运输、贮存</w:t>
      </w:r>
    </w:p>
    <w:p>
      <w:pPr>
        <w:spacing w:line="540" w:lineRule="exact"/>
        <w:ind w:left="980"/>
        <w:rPr>
          <w:rFonts w:ascii="Times New Roman" w:hAnsi="Times New Roman"/>
          <w:kern w:val="0"/>
          <w:sz w:val="28"/>
          <w:szCs w:val="28"/>
        </w:rPr>
      </w:pPr>
      <w:r>
        <w:rPr>
          <w:rFonts w:hint="eastAsia" w:ascii="Times New Roman" w:hAnsi="Times New Roman"/>
          <w:kern w:val="0"/>
          <w:sz w:val="28"/>
          <w:szCs w:val="28"/>
        </w:rPr>
        <w:t>规定了干式接头的标志、包装、运输及贮存。</w:t>
      </w:r>
    </w:p>
    <w:p>
      <w:pPr>
        <w:spacing w:line="540" w:lineRule="exact"/>
        <w:rPr>
          <w:rFonts w:ascii="Times New Roman" w:hAnsi="Times New Roman"/>
          <w:b/>
          <w:kern w:val="0"/>
          <w:sz w:val="28"/>
          <w:szCs w:val="28"/>
        </w:rPr>
      </w:pPr>
      <w:r>
        <w:rPr>
          <w:rFonts w:ascii="Times New Roman" w:hAnsi="Times New Roman"/>
          <w:b/>
          <w:kern w:val="0"/>
          <w:sz w:val="28"/>
          <w:szCs w:val="28"/>
        </w:rPr>
        <w:t>三、主要试验和情况分析</w:t>
      </w:r>
    </w:p>
    <w:p>
      <w:pPr>
        <w:spacing w:line="540" w:lineRule="exact"/>
        <w:ind w:firstLine="560" w:firstLineChars="200"/>
        <w:rPr>
          <w:rFonts w:ascii="Times New Roman" w:hAnsi="Times New Roman"/>
          <w:kern w:val="0"/>
          <w:sz w:val="28"/>
          <w:szCs w:val="28"/>
        </w:rPr>
      </w:pPr>
      <w:r>
        <w:rPr>
          <w:rFonts w:hint="eastAsia" w:ascii="Times New Roman" w:hAnsi="Times New Roman"/>
          <w:kern w:val="0"/>
          <w:sz w:val="28"/>
          <w:szCs w:val="28"/>
        </w:rPr>
        <w:t>结合国内外的行业测试和企业内部管控项目进行试验验证。</w:t>
      </w:r>
    </w:p>
    <w:p>
      <w:pPr>
        <w:spacing w:line="540" w:lineRule="exact"/>
        <w:rPr>
          <w:rFonts w:ascii="Times New Roman" w:hAnsi="Times New Roman"/>
          <w:b/>
          <w:kern w:val="0"/>
          <w:sz w:val="28"/>
          <w:szCs w:val="28"/>
        </w:rPr>
      </w:pPr>
      <w:r>
        <w:rPr>
          <w:rFonts w:hint="eastAsia" w:ascii="Times New Roman" w:hAnsi="Times New Roman"/>
          <w:b/>
          <w:kern w:val="0"/>
          <w:sz w:val="28"/>
          <w:szCs w:val="28"/>
        </w:rPr>
        <w:t>四、预期达到的效益（经济、效益、生态等），对产业发展的作用的情况</w:t>
      </w:r>
    </w:p>
    <w:p>
      <w:pPr>
        <w:spacing w:line="540" w:lineRule="exact"/>
        <w:ind w:firstLine="560" w:firstLineChars="200"/>
        <w:rPr>
          <w:rFonts w:ascii="Times New Roman" w:hAnsi="Times New Roman"/>
          <w:kern w:val="0"/>
          <w:sz w:val="28"/>
          <w:szCs w:val="28"/>
        </w:rPr>
      </w:pPr>
      <w:r>
        <w:rPr>
          <w:rFonts w:hint="eastAsia" w:ascii="宋体" w:hAnsi="宋体"/>
          <w:kern w:val="0"/>
          <w:sz w:val="28"/>
          <w:szCs w:val="28"/>
        </w:rPr>
        <w:t>干式接头</w:t>
      </w:r>
      <w:r>
        <w:rPr>
          <w:rFonts w:hint="eastAsia" w:ascii="Times New Roman" w:hAnsi="Times New Roman"/>
          <w:kern w:val="0"/>
          <w:sz w:val="28"/>
          <w:szCs w:val="28"/>
        </w:rPr>
        <w:t>满足市场及环境需求。对相关企业标准化管理水平的提升、科技成果认定、及今后类似产品的研发具有重要意义。</w:t>
      </w:r>
    </w:p>
    <w:p>
      <w:pPr>
        <w:spacing w:line="540" w:lineRule="exact"/>
        <w:rPr>
          <w:rFonts w:ascii="Times New Roman" w:hAnsi="Times New Roman"/>
          <w:b/>
          <w:kern w:val="0"/>
          <w:sz w:val="28"/>
          <w:szCs w:val="28"/>
        </w:rPr>
      </w:pPr>
      <w:r>
        <w:rPr>
          <w:rFonts w:hint="eastAsia" w:ascii="Times New Roman" w:hAnsi="Times New Roman"/>
          <w:b/>
          <w:kern w:val="0"/>
          <w:sz w:val="28"/>
          <w:szCs w:val="28"/>
        </w:rPr>
        <w:t>六、采用国际标准的程度及水平的简要说明</w:t>
      </w:r>
    </w:p>
    <w:p>
      <w:pPr>
        <w:spacing w:line="540" w:lineRule="exact"/>
        <w:ind w:firstLine="548" w:firstLineChars="196"/>
        <w:rPr>
          <w:rFonts w:ascii="Times New Roman" w:hAnsi="Times New Roman"/>
          <w:kern w:val="0"/>
          <w:sz w:val="28"/>
          <w:szCs w:val="28"/>
        </w:rPr>
      </w:pPr>
      <w:r>
        <w:rPr>
          <w:rFonts w:hint="eastAsia" w:ascii="Times New Roman" w:hAnsi="Times New Roman"/>
          <w:kern w:val="0"/>
          <w:sz w:val="28"/>
          <w:szCs w:val="28"/>
        </w:rPr>
        <w:t>本文件无引用和参考的国际标准。</w:t>
      </w:r>
    </w:p>
    <w:p>
      <w:pPr>
        <w:spacing w:line="540" w:lineRule="exact"/>
        <w:rPr>
          <w:rFonts w:ascii="Times New Roman" w:hAnsi="Times New Roman"/>
          <w:b/>
          <w:kern w:val="0"/>
          <w:sz w:val="28"/>
          <w:szCs w:val="28"/>
        </w:rPr>
      </w:pPr>
      <w:r>
        <w:rPr>
          <w:rFonts w:hint="eastAsia" w:ascii="Times New Roman" w:hAnsi="Times New Roman"/>
          <w:b/>
          <w:kern w:val="0"/>
          <w:sz w:val="28"/>
          <w:szCs w:val="28"/>
        </w:rPr>
        <w:t>七、重大意见分歧的处理依据和结果</w:t>
      </w:r>
    </w:p>
    <w:p>
      <w:pPr>
        <w:spacing w:line="540" w:lineRule="exact"/>
        <w:rPr>
          <w:rFonts w:ascii="Times New Roman" w:hAnsi="Times New Roman"/>
          <w:kern w:val="0"/>
          <w:sz w:val="28"/>
          <w:szCs w:val="28"/>
        </w:rPr>
      </w:pPr>
      <w:r>
        <w:rPr>
          <w:rFonts w:hint="eastAsia" w:ascii="Times New Roman" w:hAnsi="Times New Roman"/>
          <w:b/>
          <w:kern w:val="0"/>
          <w:sz w:val="28"/>
          <w:szCs w:val="28"/>
        </w:rPr>
        <w:t xml:space="preserve">    </w:t>
      </w:r>
      <w:r>
        <w:rPr>
          <w:rFonts w:hint="eastAsia" w:ascii="Times New Roman" w:hAnsi="Times New Roman"/>
          <w:kern w:val="0"/>
          <w:sz w:val="28"/>
          <w:szCs w:val="28"/>
        </w:rPr>
        <w:t>无。</w:t>
      </w:r>
    </w:p>
    <w:p>
      <w:pPr>
        <w:spacing w:line="540" w:lineRule="exact"/>
        <w:rPr>
          <w:rFonts w:ascii="Times New Roman" w:hAnsi="Times New Roman"/>
          <w:b/>
          <w:kern w:val="0"/>
          <w:sz w:val="28"/>
          <w:szCs w:val="28"/>
        </w:rPr>
      </w:pPr>
      <w:r>
        <w:rPr>
          <w:rFonts w:hint="eastAsia" w:ascii="Times New Roman" w:hAnsi="Times New Roman"/>
          <w:b/>
          <w:kern w:val="0"/>
          <w:sz w:val="28"/>
          <w:szCs w:val="28"/>
        </w:rPr>
        <w:t>八、标准性质的建议说明</w:t>
      </w:r>
    </w:p>
    <w:p>
      <w:pPr>
        <w:spacing w:line="540" w:lineRule="exact"/>
        <w:ind w:firstLine="548" w:firstLineChars="196"/>
        <w:rPr>
          <w:rFonts w:ascii="Times New Roman" w:hAnsi="Times New Roman"/>
          <w:kern w:val="0"/>
          <w:sz w:val="28"/>
          <w:szCs w:val="28"/>
        </w:rPr>
      </w:pPr>
      <w:r>
        <w:rPr>
          <w:rFonts w:hint="eastAsia" w:ascii="Times New Roman" w:hAnsi="Times New Roman"/>
          <w:kern w:val="0"/>
          <w:sz w:val="28"/>
          <w:szCs w:val="28"/>
        </w:rPr>
        <w:t>本标准为团体标准，供社会各界自愿使用。</w:t>
      </w:r>
    </w:p>
    <w:p>
      <w:pPr>
        <w:spacing w:line="540" w:lineRule="exact"/>
        <w:rPr>
          <w:rFonts w:ascii="Times New Roman" w:hAnsi="Times New Roman"/>
          <w:b/>
          <w:kern w:val="0"/>
          <w:sz w:val="28"/>
          <w:szCs w:val="28"/>
        </w:rPr>
      </w:pPr>
      <w:r>
        <w:rPr>
          <w:rFonts w:hint="eastAsia" w:ascii="Times New Roman" w:hAnsi="Times New Roman"/>
          <w:b/>
          <w:kern w:val="0"/>
          <w:sz w:val="28"/>
          <w:szCs w:val="28"/>
        </w:rPr>
        <w:t>九、贯彻标准的要求和措施建议</w:t>
      </w:r>
    </w:p>
    <w:p>
      <w:pPr>
        <w:spacing w:line="540" w:lineRule="exact"/>
        <w:rPr>
          <w:rFonts w:ascii="Times New Roman" w:hAnsi="Times New Roman"/>
          <w:kern w:val="0"/>
          <w:sz w:val="28"/>
          <w:szCs w:val="28"/>
        </w:rPr>
      </w:pPr>
      <w:r>
        <w:rPr>
          <w:rFonts w:hint="eastAsia" w:ascii="Times New Roman" w:hAnsi="Times New Roman"/>
          <w:b/>
          <w:kern w:val="0"/>
          <w:sz w:val="28"/>
          <w:szCs w:val="28"/>
        </w:rPr>
        <w:t xml:space="preserve">    </w:t>
      </w:r>
      <w:r>
        <w:rPr>
          <w:rFonts w:hint="eastAsia" w:ascii="Times New Roman" w:hAnsi="Times New Roman"/>
          <w:kern w:val="0"/>
          <w:sz w:val="28"/>
          <w:szCs w:val="28"/>
        </w:rPr>
        <w:t>无。</w:t>
      </w:r>
    </w:p>
    <w:p>
      <w:pPr>
        <w:spacing w:line="540" w:lineRule="exact"/>
        <w:rPr>
          <w:rFonts w:ascii="Times New Roman" w:hAnsi="Times New Roman"/>
          <w:b/>
          <w:kern w:val="0"/>
          <w:sz w:val="28"/>
          <w:szCs w:val="28"/>
        </w:rPr>
      </w:pPr>
      <w:r>
        <w:rPr>
          <w:rFonts w:hint="eastAsia" w:ascii="Times New Roman" w:hAnsi="Times New Roman"/>
          <w:b/>
          <w:kern w:val="0"/>
          <w:sz w:val="28"/>
          <w:szCs w:val="28"/>
        </w:rPr>
        <w:t>十、废止现行相关标准的建议</w:t>
      </w:r>
    </w:p>
    <w:p>
      <w:pPr>
        <w:spacing w:line="540" w:lineRule="exact"/>
        <w:rPr>
          <w:rFonts w:ascii="Times New Roman" w:hAnsi="Times New Roman"/>
          <w:kern w:val="0"/>
          <w:sz w:val="28"/>
          <w:szCs w:val="28"/>
        </w:rPr>
      </w:pPr>
      <w:r>
        <w:rPr>
          <w:rFonts w:hint="eastAsia" w:ascii="Times New Roman" w:hAnsi="Times New Roman"/>
          <w:b/>
          <w:kern w:val="0"/>
          <w:sz w:val="28"/>
          <w:szCs w:val="28"/>
        </w:rPr>
        <w:t xml:space="preserve">    </w:t>
      </w:r>
      <w:r>
        <w:rPr>
          <w:rFonts w:hint="eastAsia" w:ascii="Times New Roman" w:hAnsi="Times New Roman"/>
          <w:kern w:val="0"/>
          <w:sz w:val="28"/>
          <w:szCs w:val="28"/>
        </w:rPr>
        <w:t>本标准为首次发布。</w:t>
      </w:r>
    </w:p>
    <w:p>
      <w:pPr>
        <w:spacing w:line="540" w:lineRule="exact"/>
        <w:rPr>
          <w:rFonts w:ascii="Times New Roman" w:hAnsi="Times New Roman"/>
          <w:b/>
          <w:kern w:val="0"/>
          <w:sz w:val="28"/>
          <w:szCs w:val="28"/>
        </w:rPr>
      </w:pPr>
      <w:r>
        <w:rPr>
          <w:rFonts w:hint="eastAsia" w:ascii="Times New Roman" w:hAnsi="Times New Roman"/>
          <w:b/>
          <w:kern w:val="0"/>
          <w:sz w:val="28"/>
          <w:szCs w:val="28"/>
        </w:rPr>
        <w:t>十一、其他应予说明的事项</w:t>
      </w:r>
    </w:p>
    <w:p>
      <w:pPr>
        <w:spacing w:line="540" w:lineRule="exact"/>
        <w:rPr>
          <w:rFonts w:ascii="Times New Roman" w:hAnsi="Times New Roman"/>
          <w:kern w:val="0"/>
          <w:sz w:val="28"/>
          <w:szCs w:val="28"/>
        </w:rPr>
      </w:pPr>
      <w:r>
        <w:rPr>
          <w:rFonts w:hint="eastAsia" w:ascii="Times New Roman" w:hAnsi="Times New Roman"/>
          <w:b/>
          <w:kern w:val="0"/>
          <w:sz w:val="28"/>
          <w:szCs w:val="28"/>
        </w:rPr>
        <w:t xml:space="preserve">  </w:t>
      </w:r>
      <w:r>
        <w:rPr>
          <w:rFonts w:hint="eastAsia" w:ascii="Times New Roman" w:hAnsi="Times New Roman"/>
          <w:kern w:val="0"/>
          <w:sz w:val="28"/>
          <w:szCs w:val="28"/>
        </w:rPr>
        <w:t xml:space="preserve">  无。</w:t>
      </w:r>
    </w:p>
    <w:p>
      <w:pPr>
        <w:spacing w:line="540" w:lineRule="exact"/>
        <w:jc w:val="right"/>
        <w:rPr>
          <w:rFonts w:ascii="宋体" w:hAnsi="宋体"/>
          <w:kern w:val="0"/>
          <w:sz w:val="28"/>
          <w:szCs w:val="28"/>
        </w:rPr>
      </w:pPr>
      <w:r>
        <w:rPr>
          <w:rFonts w:hint="eastAsia" w:ascii="Times New Roman" w:hAnsi="Times New Roman"/>
          <w:kern w:val="0"/>
          <w:sz w:val="28"/>
          <w:szCs w:val="28"/>
        </w:rPr>
        <w:t>《</w:t>
      </w:r>
      <w:r>
        <w:rPr>
          <w:rFonts w:hint="eastAsia" w:ascii="宋体" w:hAnsi="宋体"/>
          <w:kern w:val="0"/>
          <w:sz w:val="28"/>
          <w:szCs w:val="28"/>
        </w:rPr>
        <w:t>干式接头》起草组</w:t>
      </w:r>
    </w:p>
    <w:p>
      <w:pPr>
        <w:spacing w:line="540" w:lineRule="exact"/>
        <w:jc w:val="right"/>
        <w:rPr>
          <w:rFonts w:ascii="宋体" w:hAnsi="宋体"/>
          <w:kern w:val="0"/>
          <w:sz w:val="28"/>
          <w:szCs w:val="28"/>
        </w:rPr>
      </w:pPr>
      <w:r>
        <w:rPr>
          <w:rFonts w:hint="eastAsia" w:ascii="宋体" w:hAnsi="宋体"/>
          <w:kern w:val="0"/>
          <w:sz w:val="28"/>
          <w:szCs w:val="28"/>
        </w:rPr>
        <w:t>2023年7月28日</w:t>
      </w:r>
    </w:p>
    <w:sectPr>
      <w:footerReference r:id="rId4" w:type="default"/>
      <w:pgSz w:w="11906" w:h="16838"/>
      <w:pgMar w:top="1418" w:right="1418" w:bottom="1985" w:left="179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center</wp:align>
              </wp:positionV>
              <wp:extent cx="457835" cy="175260"/>
              <wp:effectExtent l="0" t="0" r="18415" b="15240"/>
              <wp:wrapNone/>
              <wp:docPr id="1" name="文本框 1025"/>
              <wp:cNvGraphicFramePr/>
              <a:graphic xmlns:a="http://schemas.openxmlformats.org/drawingml/2006/main">
                <a:graphicData uri="http://schemas.microsoft.com/office/word/2010/wordprocessingShape">
                  <wps:wsp>
                    <wps:cNvSpPr txBox="1"/>
                    <wps:spPr>
                      <a:xfrm>
                        <a:off x="0" y="0"/>
                        <a:ext cx="457835" cy="175260"/>
                      </a:xfrm>
                      <a:prstGeom prst="rect">
                        <a:avLst/>
                      </a:prstGeom>
                      <a:noFill/>
                      <a:ln>
                        <a:noFill/>
                      </a:ln>
                    </wps:spPr>
                    <wps:txbx>
                      <w:txbxContent>
                        <w:p>
                          <w:pPr>
                            <w:pStyle w:val="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height:13.8pt;width:36.05pt;mso-position-horizontal:center;mso-position-horizontal-relative:margin;mso-position-vertical:center;mso-wrap-style:none;z-index:251659264;mso-width-relative:page;mso-height-relative:page;" filled="f" stroked="f" coordsize="21600,21600" o:gfxdata="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MBfeDRAAAAAwEAAA8AAAAAAAAAAQAgAAAAIgAAAGRycy9kb3ducmV2&#10;LnhtbFBLAQIUABQAAAAIAIdO4kDBvGb6ygEAAI4DAAAOAAAAAAAAAAEAIAAAACABAABkcnMvZTJv&#10;RG9jLnhtbFBLBQYAAAAABgAGAFkBAABcBQAAAAA=&#10;">
              <v:fill on="f" focussize="0,0"/>
              <v:stroke on="f"/>
              <v:imagedata o:title=""/>
              <o:lock v:ext="edit" aspectratio="f"/>
              <v:textbox inset="0mm,0mm,0mm,0mm" style="mso-fit-shape-to-text:t;">
                <w:txbxContent>
                  <w:p>
                    <w:pPr>
                      <w:pStyle w:val="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B6105"/>
    <w:multiLevelType w:val="multilevel"/>
    <w:tmpl w:val="90CB6105"/>
    <w:lvl w:ilvl="0" w:tentative="0">
      <w:start w:val="1"/>
      <w:numFmt w:val="none"/>
      <w:pStyle w:val="46"/>
      <w:lvlText w:val="%1注："/>
      <w:lvlJc w:val="left"/>
      <w:pPr>
        <w:ind w:left="737" w:hanging="374"/>
      </w:pPr>
      <w:rPr>
        <w:rFonts w:hint="eastAsia" w:ascii="黑体" w:hAnsi="Times New Roman" w:eastAsia="黑体" w:cs="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abstractNum w:abstractNumId="1">
    <w:nsid w:val="A4A19896"/>
    <w:multiLevelType w:val="multilevel"/>
    <w:tmpl w:val="A4A19896"/>
    <w:lvl w:ilvl="0" w:tentative="0">
      <w:start w:val="1"/>
      <w:numFmt w:val="none"/>
      <w:suff w:val="nothing"/>
      <w:lvlText w:val="%1"/>
      <w:lvlJc w:val="left"/>
      <w:pPr>
        <w:ind w:left="0" w:firstLine="0"/>
      </w:pPr>
    </w:lvl>
    <w:lvl w:ilvl="1" w:tentative="0">
      <w:start w:val="1"/>
      <w:numFmt w:val="decimal"/>
      <w:pStyle w:val="41"/>
      <w:suff w:val="nothing"/>
      <w:lvlText w:val="%1%2　"/>
      <w:lvlJc w:val="left"/>
      <w:pPr>
        <w:ind w:left="0" w:firstLine="0"/>
      </w:pPr>
      <w:rPr>
        <w:rFonts w:hint="default" w:ascii="黑体" w:hAnsi="Times New Roman" w:eastAsia="黑体" w:cs="黑体"/>
        <w:b w:val="0"/>
        <w:i w:val="0"/>
        <w:sz w:val="28"/>
        <w:szCs w:val="24"/>
      </w:rPr>
    </w:lvl>
    <w:lvl w:ilvl="2" w:tentative="0">
      <w:start w:val="1"/>
      <w:numFmt w:val="decimal"/>
      <w:pStyle w:val="43"/>
      <w:suff w:val="nothing"/>
      <w:lvlText w:val="%1%2.%3　"/>
      <w:lvlJc w:val="left"/>
      <w:pPr>
        <w:ind w:left="142" w:firstLine="0"/>
        <w:textAlignment w:val="baseline"/>
      </w:pPr>
      <w:rPr>
        <w:rFonts w:hint="default" w:ascii="黑体" w:hAnsi="Times New Roman" w:eastAsia="黑体" w:cs="Times New Roman"/>
        <w:b w:val="0"/>
        <w:bCs w:val="0"/>
        <w:i w:val="0"/>
        <w:iCs w:val="0"/>
        <w:caps w:val="0"/>
        <w:strike w:val="0"/>
        <w:dstrike w:val="0"/>
        <w:vanish w:val="0"/>
        <w:color w:val="000000"/>
        <w:spacing w:val="0"/>
        <w:kern w:val="0"/>
        <w:position w:val="0"/>
        <w:sz w:val="28"/>
        <w:szCs w:val="24"/>
        <w:u w:val="none"/>
      </w:rPr>
    </w:lvl>
    <w:lvl w:ilvl="3" w:tentative="0">
      <w:start w:val="1"/>
      <w:numFmt w:val="decimal"/>
      <w:pStyle w:val="35"/>
      <w:suff w:val="nothing"/>
      <w:lvlText w:val="%1%2.%3.%4　"/>
      <w:lvlJc w:val="left"/>
      <w:pPr>
        <w:ind w:left="0" w:firstLine="0"/>
      </w:pPr>
      <w:rPr>
        <w:rFonts w:hint="default" w:ascii="黑体" w:hAnsi="Times New Roman" w:eastAsia="黑体" w:cs="黑体"/>
        <w:b w:val="0"/>
        <w:i w:val="0"/>
        <w:sz w:val="28"/>
        <w:szCs w:val="24"/>
      </w:rPr>
    </w:lvl>
    <w:lvl w:ilvl="4" w:tentative="0">
      <w:start w:val="1"/>
      <w:numFmt w:val="decimal"/>
      <w:pStyle w:val="48"/>
      <w:suff w:val="nothing"/>
      <w:lvlText w:val="%1%2.%3.%4.%5　"/>
      <w:lvlJc w:val="left"/>
      <w:pPr>
        <w:ind w:left="0" w:firstLine="0"/>
      </w:pPr>
      <w:rPr>
        <w:rFonts w:hint="default" w:ascii="黑体" w:hAnsi="Times New Roman" w:eastAsia="黑体" w:cs="黑体"/>
        <w:b w:val="0"/>
        <w:i w:val="0"/>
        <w:sz w:val="28"/>
        <w:szCs w:val="24"/>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C757CFEA"/>
    <w:multiLevelType w:val="multilevel"/>
    <w:tmpl w:val="C757CFEA"/>
    <w:lvl w:ilvl="0" w:tentative="0">
      <w:start w:val="1"/>
      <w:numFmt w:val="none"/>
      <w:pStyle w:val="40"/>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
    <w:nsid w:val="E9C0D7C5"/>
    <w:multiLevelType w:val="multilevel"/>
    <w:tmpl w:val="E9C0D7C5"/>
    <w:lvl w:ilvl="0" w:tentative="0">
      <w:start w:val="1"/>
      <w:numFmt w:val="lowerLetter"/>
      <w:pStyle w:val="44"/>
      <w:lvlText w:val="%1)"/>
      <w:lvlJc w:val="left"/>
      <w:pPr>
        <w:tabs>
          <w:tab w:val="left" w:pos="851"/>
        </w:tabs>
        <w:ind w:left="851" w:hanging="426"/>
      </w:pPr>
      <w:rPr>
        <w:rFonts w:hint="default" w:ascii="宋体" w:hAnsi="Times New Roman" w:eastAsia="宋体" w:cs="宋体"/>
        <w:sz w:val="28"/>
        <w:szCs w:val="24"/>
      </w:rPr>
    </w:lvl>
    <w:lvl w:ilvl="1" w:tentative="0">
      <w:start w:val="1"/>
      <w:numFmt w:val="decimal"/>
      <w:lvlText w:val="%2)"/>
      <w:lvlJc w:val="left"/>
      <w:pPr>
        <w:tabs>
          <w:tab w:val="left" w:pos="1276"/>
        </w:tabs>
        <w:ind w:left="1276" w:hanging="425"/>
      </w:pPr>
      <w:rPr>
        <w:rFonts w:hint="eastAsia" w:ascii="宋体" w:hAnsi="Times New Roman" w:eastAsia="宋体" w:cs="宋体"/>
        <w:sz w:val="21"/>
      </w:rPr>
    </w:lvl>
    <w:lvl w:ilvl="2" w:tentative="0">
      <w:start w:val="1"/>
      <w:numFmt w:val="decimal"/>
      <w:lvlText w:val="(%3)"/>
      <w:lvlJc w:val="left"/>
      <w:pPr>
        <w:ind w:left="1702" w:hanging="425"/>
      </w:pPr>
      <w:rPr>
        <w:rFonts w:hint="eastAsia" w:ascii="宋体" w:hAnsi="Times New Roman" w:eastAsia="宋体" w:cs="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4">
    <w:nsid w:val="019430B3"/>
    <w:multiLevelType w:val="multilevel"/>
    <w:tmpl w:val="019430B3"/>
    <w:lvl w:ilvl="0" w:tentative="0">
      <w:start w:val="1"/>
      <w:numFmt w:val="decimal"/>
      <w:pStyle w:val="31"/>
      <w:lvlText w:val="%1"/>
      <w:lvlJc w:val="left"/>
      <w:pPr>
        <w:ind w:left="425" w:hanging="425"/>
      </w:pPr>
    </w:lvl>
    <w:lvl w:ilvl="1" w:tentative="0">
      <w:start w:val="1"/>
      <w:numFmt w:val="decimal"/>
      <w:pStyle w:val="32"/>
      <w:lvlText w:val="%1.%2"/>
      <w:lvlJc w:val="left"/>
      <w:pPr>
        <w:ind w:left="992" w:hanging="567"/>
      </w:pPr>
    </w:lvl>
    <w:lvl w:ilvl="2" w:tentative="0">
      <w:start w:val="1"/>
      <w:numFmt w:val="decimal"/>
      <w:pStyle w:val="29"/>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56024393"/>
    <w:multiLevelType w:val="multilevel"/>
    <w:tmpl w:val="56024393"/>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A350206"/>
    <w:multiLevelType w:val="multilevel"/>
    <w:tmpl w:val="5A350206"/>
    <w:lvl w:ilvl="0" w:tentative="0">
      <w:start w:val="1"/>
      <w:numFmt w:val="decimal"/>
      <w:pStyle w:val="4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49"/>
      <w:suff w:val="nothing"/>
      <w:lvlText w:val="%1%2.%3.%4.%5.%6　"/>
      <w:lvlJc w:val="left"/>
      <w:pPr>
        <w:ind w:left="0" w:firstLine="0"/>
      </w:pPr>
      <w:rPr>
        <w:rFonts w:hint="default" w:ascii="黑体" w:eastAsia="黑体"/>
        <w:b w:val="0"/>
        <w:i w:val="0"/>
        <w:sz w:val="28"/>
        <w:szCs w:val="24"/>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1"/>
  </w:num>
  <w:num w:numId="3">
    <w:abstractNumId w:val="2"/>
  </w:num>
  <w:num w:numId="4">
    <w:abstractNumId w:val="6"/>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YTI4NTUzOGQ3OTcwYjk3NjAwNWUwMDUyZjBiMGIifQ=="/>
  </w:docVars>
  <w:rsids>
    <w:rsidRoot w:val="00BF050A"/>
    <w:rsid w:val="0000335D"/>
    <w:rsid w:val="00014360"/>
    <w:rsid w:val="00020374"/>
    <w:rsid w:val="0002253B"/>
    <w:rsid w:val="00025099"/>
    <w:rsid w:val="000252FA"/>
    <w:rsid w:val="000361E7"/>
    <w:rsid w:val="0004018C"/>
    <w:rsid w:val="000413D1"/>
    <w:rsid w:val="000564F6"/>
    <w:rsid w:val="0007271C"/>
    <w:rsid w:val="00077B87"/>
    <w:rsid w:val="00093711"/>
    <w:rsid w:val="000C5572"/>
    <w:rsid w:val="000C6ED2"/>
    <w:rsid w:val="000E0EB3"/>
    <w:rsid w:val="000F3992"/>
    <w:rsid w:val="00101337"/>
    <w:rsid w:val="00106D8E"/>
    <w:rsid w:val="00107FA6"/>
    <w:rsid w:val="001336A7"/>
    <w:rsid w:val="001366DD"/>
    <w:rsid w:val="001407D3"/>
    <w:rsid w:val="0014129B"/>
    <w:rsid w:val="001608E5"/>
    <w:rsid w:val="00166605"/>
    <w:rsid w:val="00176CC1"/>
    <w:rsid w:val="00182A0A"/>
    <w:rsid w:val="00186B0A"/>
    <w:rsid w:val="001916AE"/>
    <w:rsid w:val="00194FB0"/>
    <w:rsid w:val="001A069A"/>
    <w:rsid w:val="001A095D"/>
    <w:rsid w:val="001A2436"/>
    <w:rsid w:val="001A339F"/>
    <w:rsid w:val="001A78F0"/>
    <w:rsid w:val="001B05D4"/>
    <w:rsid w:val="001B36D9"/>
    <w:rsid w:val="001C225F"/>
    <w:rsid w:val="001C4546"/>
    <w:rsid w:val="001C6DB6"/>
    <w:rsid w:val="001E040E"/>
    <w:rsid w:val="001E59EA"/>
    <w:rsid w:val="001F32DC"/>
    <w:rsid w:val="00210B1B"/>
    <w:rsid w:val="0023171E"/>
    <w:rsid w:val="00231E76"/>
    <w:rsid w:val="002506EB"/>
    <w:rsid w:val="0025166A"/>
    <w:rsid w:val="002645BB"/>
    <w:rsid w:val="00265AC2"/>
    <w:rsid w:val="00266291"/>
    <w:rsid w:val="00277345"/>
    <w:rsid w:val="0028530B"/>
    <w:rsid w:val="00285841"/>
    <w:rsid w:val="002A391A"/>
    <w:rsid w:val="002A4853"/>
    <w:rsid w:val="002D3A9F"/>
    <w:rsid w:val="002D4188"/>
    <w:rsid w:val="002E0840"/>
    <w:rsid w:val="002E2B56"/>
    <w:rsid w:val="002E31D7"/>
    <w:rsid w:val="002E339E"/>
    <w:rsid w:val="002F1B53"/>
    <w:rsid w:val="002F3045"/>
    <w:rsid w:val="003018E6"/>
    <w:rsid w:val="00305109"/>
    <w:rsid w:val="0031256A"/>
    <w:rsid w:val="0031561A"/>
    <w:rsid w:val="00317D74"/>
    <w:rsid w:val="0032395C"/>
    <w:rsid w:val="003257DB"/>
    <w:rsid w:val="00352B42"/>
    <w:rsid w:val="00352FAE"/>
    <w:rsid w:val="00357168"/>
    <w:rsid w:val="00357C95"/>
    <w:rsid w:val="00357DD7"/>
    <w:rsid w:val="00362DFB"/>
    <w:rsid w:val="00372877"/>
    <w:rsid w:val="00372E8D"/>
    <w:rsid w:val="00373823"/>
    <w:rsid w:val="003813CC"/>
    <w:rsid w:val="00383BBD"/>
    <w:rsid w:val="003A00FA"/>
    <w:rsid w:val="003A0364"/>
    <w:rsid w:val="003A509B"/>
    <w:rsid w:val="003B6441"/>
    <w:rsid w:val="003C1B72"/>
    <w:rsid w:val="003C3F77"/>
    <w:rsid w:val="003E2310"/>
    <w:rsid w:val="003F5B07"/>
    <w:rsid w:val="003F7535"/>
    <w:rsid w:val="00401889"/>
    <w:rsid w:val="004037D7"/>
    <w:rsid w:val="00410BC2"/>
    <w:rsid w:val="00413119"/>
    <w:rsid w:val="004172C0"/>
    <w:rsid w:val="00421711"/>
    <w:rsid w:val="004252F2"/>
    <w:rsid w:val="00435663"/>
    <w:rsid w:val="00436EE9"/>
    <w:rsid w:val="00463563"/>
    <w:rsid w:val="004803B5"/>
    <w:rsid w:val="0048232F"/>
    <w:rsid w:val="00487AF8"/>
    <w:rsid w:val="00487FF5"/>
    <w:rsid w:val="004A6DEA"/>
    <w:rsid w:val="004B2F65"/>
    <w:rsid w:val="004B6E6F"/>
    <w:rsid w:val="004F4747"/>
    <w:rsid w:val="004F6F77"/>
    <w:rsid w:val="005046C2"/>
    <w:rsid w:val="00520FFB"/>
    <w:rsid w:val="0052420C"/>
    <w:rsid w:val="005251AE"/>
    <w:rsid w:val="005335D9"/>
    <w:rsid w:val="00534397"/>
    <w:rsid w:val="00534D5E"/>
    <w:rsid w:val="00534FAE"/>
    <w:rsid w:val="00545EB7"/>
    <w:rsid w:val="0056585F"/>
    <w:rsid w:val="00593944"/>
    <w:rsid w:val="00596690"/>
    <w:rsid w:val="005A4896"/>
    <w:rsid w:val="005A5CA8"/>
    <w:rsid w:val="005B7647"/>
    <w:rsid w:val="005C6AA5"/>
    <w:rsid w:val="005C79ED"/>
    <w:rsid w:val="005F04D6"/>
    <w:rsid w:val="00601423"/>
    <w:rsid w:val="006044E0"/>
    <w:rsid w:val="00606BF2"/>
    <w:rsid w:val="00624268"/>
    <w:rsid w:val="006252E3"/>
    <w:rsid w:val="0064637B"/>
    <w:rsid w:val="00674227"/>
    <w:rsid w:val="006878C7"/>
    <w:rsid w:val="006907FE"/>
    <w:rsid w:val="006965B4"/>
    <w:rsid w:val="006A01A1"/>
    <w:rsid w:val="006B0B1B"/>
    <w:rsid w:val="006B6D21"/>
    <w:rsid w:val="006B75F5"/>
    <w:rsid w:val="006D5163"/>
    <w:rsid w:val="006E5B41"/>
    <w:rsid w:val="00703F44"/>
    <w:rsid w:val="00705D75"/>
    <w:rsid w:val="00707748"/>
    <w:rsid w:val="00724FA7"/>
    <w:rsid w:val="00735C7E"/>
    <w:rsid w:val="007417C1"/>
    <w:rsid w:val="00747D95"/>
    <w:rsid w:val="00750AFD"/>
    <w:rsid w:val="00752097"/>
    <w:rsid w:val="00756D5D"/>
    <w:rsid w:val="00776D4B"/>
    <w:rsid w:val="0077717B"/>
    <w:rsid w:val="0079502D"/>
    <w:rsid w:val="00795550"/>
    <w:rsid w:val="007A2FC6"/>
    <w:rsid w:val="007A5AAC"/>
    <w:rsid w:val="007C21C2"/>
    <w:rsid w:val="007D4B87"/>
    <w:rsid w:val="007F784F"/>
    <w:rsid w:val="008046A5"/>
    <w:rsid w:val="0082096B"/>
    <w:rsid w:val="008257DF"/>
    <w:rsid w:val="008368E2"/>
    <w:rsid w:val="008502EF"/>
    <w:rsid w:val="008665F7"/>
    <w:rsid w:val="0086666E"/>
    <w:rsid w:val="008716B2"/>
    <w:rsid w:val="00874660"/>
    <w:rsid w:val="008B18A3"/>
    <w:rsid w:val="008B34EE"/>
    <w:rsid w:val="008C7CD4"/>
    <w:rsid w:val="008F20D9"/>
    <w:rsid w:val="008F54B9"/>
    <w:rsid w:val="008F5B83"/>
    <w:rsid w:val="009068DA"/>
    <w:rsid w:val="00910049"/>
    <w:rsid w:val="0091708A"/>
    <w:rsid w:val="00932F00"/>
    <w:rsid w:val="00963C89"/>
    <w:rsid w:val="009650FE"/>
    <w:rsid w:val="00966791"/>
    <w:rsid w:val="00981821"/>
    <w:rsid w:val="00987820"/>
    <w:rsid w:val="009943E0"/>
    <w:rsid w:val="009954B4"/>
    <w:rsid w:val="009A16C4"/>
    <w:rsid w:val="009A27FC"/>
    <w:rsid w:val="009A488E"/>
    <w:rsid w:val="009A5078"/>
    <w:rsid w:val="009A6F90"/>
    <w:rsid w:val="009B1FF6"/>
    <w:rsid w:val="009B5B6F"/>
    <w:rsid w:val="009D56C3"/>
    <w:rsid w:val="009D71A4"/>
    <w:rsid w:val="009E3FCD"/>
    <w:rsid w:val="009E6D91"/>
    <w:rsid w:val="009F0E3F"/>
    <w:rsid w:val="009F22B1"/>
    <w:rsid w:val="00A02415"/>
    <w:rsid w:val="00A06F10"/>
    <w:rsid w:val="00A262E4"/>
    <w:rsid w:val="00A27845"/>
    <w:rsid w:val="00A31084"/>
    <w:rsid w:val="00A44A72"/>
    <w:rsid w:val="00A4610C"/>
    <w:rsid w:val="00A50B02"/>
    <w:rsid w:val="00A54455"/>
    <w:rsid w:val="00A5702C"/>
    <w:rsid w:val="00A6194C"/>
    <w:rsid w:val="00A64776"/>
    <w:rsid w:val="00A72E21"/>
    <w:rsid w:val="00A74B0D"/>
    <w:rsid w:val="00A80365"/>
    <w:rsid w:val="00A80E58"/>
    <w:rsid w:val="00A83680"/>
    <w:rsid w:val="00A85DDB"/>
    <w:rsid w:val="00AA7C13"/>
    <w:rsid w:val="00AB1353"/>
    <w:rsid w:val="00AC01B1"/>
    <w:rsid w:val="00AC09D3"/>
    <w:rsid w:val="00AD0EA1"/>
    <w:rsid w:val="00AD2695"/>
    <w:rsid w:val="00AD39DA"/>
    <w:rsid w:val="00AF01D8"/>
    <w:rsid w:val="00AF56F5"/>
    <w:rsid w:val="00B01C45"/>
    <w:rsid w:val="00B107ED"/>
    <w:rsid w:val="00B13F8D"/>
    <w:rsid w:val="00B16911"/>
    <w:rsid w:val="00B22220"/>
    <w:rsid w:val="00B40BEA"/>
    <w:rsid w:val="00B41825"/>
    <w:rsid w:val="00B4567A"/>
    <w:rsid w:val="00B47E66"/>
    <w:rsid w:val="00B743AB"/>
    <w:rsid w:val="00B877F3"/>
    <w:rsid w:val="00B97970"/>
    <w:rsid w:val="00BA15CF"/>
    <w:rsid w:val="00BA3C4F"/>
    <w:rsid w:val="00BB2288"/>
    <w:rsid w:val="00BB3D50"/>
    <w:rsid w:val="00BB5CFC"/>
    <w:rsid w:val="00BC11A6"/>
    <w:rsid w:val="00BC3BB1"/>
    <w:rsid w:val="00BD440B"/>
    <w:rsid w:val="00BD4F24"/>
    <w:rsid w:val="00BE6F2E"/>
    <w:rsid w:val="00BF050A"/>
    <w:rsid w:val="00C21DF8"/>
    <w:rsid w:val="00C22A40"/>
    <w:rsid w:val="00C25A5F"/>
    <w:rsid w:val="00C2644A"/>
    <w:rsid w:val="00C51238"/>
    <w:rsid w:val="00C52B4D"/>
    <w:rsid w:val="00C56135"/>
    <w:rsid w:val="00C62D4B"/>
    <w:rsid w:val="00C869DA"/>
    <w:rsid w:val="00C9265C"/>
    <w:rsid w:val="00CA5205"/>
    <w:rsid w:val="00CB0852"/>
    <w:rsid w:val="00CD1048"/>
    <w:rsid w:val="00CE640D"/>
    <w:rsid w:val="00D06630"/>
    <w:rsid w:val="00D10B4E"/>
    <w:rsid w:val="00D131B0"/>
    <w:rsid w:val="00D237D4"/>
    <w:rsid w:val="00D30F52"/>
    <w:rsid w:val="00D311EA"/>
    <w:rsid w:val="00D43A89"/>
    <w:rsid w:val="00D44764"/>
    <w:rsid w:val="00D6117B"/>
    <w:rsid w:val="00D75EAC"/>
    <w:rsid w:val="00D77694"/>
    <w:rsid w:val="00D80910"/>
    <w:rsid w:val="00D81489"/>
    <w:rsid w:val="00D83500"/>
    <w:rsid w:val="00D837B2"/>
    <w:rsid w:val="00D84346"/>
    <w:rsid w:val="00DA1E47"/>
    <w:rsid w:val="00DA347F"/>
    <w:rsid w:val="00DB46BB"/>
    <w:rsid w:val="00DB5CCC"/>
    <w:rsid w:val="00DD0DFD"/>
    <w:rsid w:val="00DE3ACA"/>
    <w:rsid w:val="00DE7470"/>
    <w:rsid w:val="00E15D39"/>
    <w:rsid w:val="00E16774"/>
    <w:rsid w:val="00E32337"/>
    <w:rsid w:val="00E34260"/>
    <w:rsid w:val="00E36059"/>
    <w:rsid w:val="00E43D54"/>
    <w:rsid w:val="00E565FD"/>
    <w:rsid w:val="00E56F5C"/>
    <w:rsid w:val="00E6367D"/>
    <w:rsid w:val="00E6636F"/>
    <w:rsid w:val="00E66D9D"/>
    <w:rsid w:val="00E673E8"/>
    <w:rsid w:val="00E70693"/>
    <w:rsid w:val="00E831B3"/>
    <w:rsid w:val="00E85E1E"/>
    <w:rsid w:val="00E866B8"/>
    <w:rsid w:val="00E91F82"/>
    <w:rsid w:val="00E92169"/>
    <w:rsid w:val="00EA0AC1"/>
    <w:rsid w:val="00EA3245"/>
    <w:rsid w:val="00EB30BA"/>
    <w:rsid w:val="00EC0208"/>
    <w:rsid w:val="00EC6BB9"/>
    <w:rsid w:val="00EC777A"/>
    <w:rsid w:val="00ED0D16"/>
    <w:rsid w:val="00ED17F5"/>
    <w:rsid w:val="00ED19A1"/>
    <w:rsid w:val="00ED28CC"/>
    <w:rsid w:val="00ED58DB"/>
    <w:rsid w:val="00EF1BF1"/>
    <w:rsid w:val="00EF434A"/>
    <w:rsid w:val="00F0209D"/>
    <w:rsid w:val="00F02E72"/>
    <w:rsid w:val="00F06A1A"/>
    <w:rsid w:val="00F26582"/>
    <w:rsid w:val="00F27E12"/>
    <w:rsid w:val="00F319AF"/>
    <w:rsid w:val="00F40C1D"/>
    <w:rsid w:val="00F43CD1"/>
    <w:rsid w:val="00F51C15"/>
    <w:rsid w:val="00F63FC4"/>
    <w:rsid w:val="00F70F59"/>
    <w:rsid w:val="00F741B8"/>
    <w:rsid w:val="00F84373"/>
    <w:rsid w:val="00F878B5"/>
    <w:rsid w:val="00F91EFF"/>
    <w:rsid w:val="00F92513"/>
    <w:rsid w:val="00F943A4"/>
    <w:rsid w:val="00F95F54"/>
    <w:rsid w:val="00F96275"/>
    <w:rsid w:val="00F97976"/>
    <w:rsid w:val="00FB5476"/>
    <w:rsid w:val="00FC00B7"/>
    <w:rsid w:val="00FC26FD"/>
    <w:rsid w:val="00FE00B0"/>
    <w:rsid w:val="00FE18D5"/>
    <w:rsid w:val="00FE4EDC"/>
    <w:rsid w:val="00FE5339"/>
    <w:rsid w:val="00FF7FD9"/>
    <w:rsid w:val="0B1072D7"/>
    <w:rsid w:val="13853CC1"/>
    <w:rsid w:val="170D2EB2"/>
    <w:rsid w:val="1EA75516"/>
    <w:rsid w:val="2A28692C"/>
    <w:rsid w:val="2C2D1EE2"/>
    <w:rsid w:val="2DAD6C8F"/>
    <w:rsid w:val="3BCE7644"/>
    <w:rsid w:val="40E14CE3"/>
    <w:rsid w:val="56AF4183"/>
    <w:rsid w:val="5B3874A1"/>
    <w:rsid w:val="706C61B1"/>
    <w:rsid w:val="7D81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7"/>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uiPriority w:val="1"/>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qFormat/>
    <w:uiPriority w:val="35"/>
    <w:pPr>
      <w:jc w:val="center"/>
    </w:pPr>
    <w:rPr>
      <w:rFonts w:ascii="Cambria" w:hAnsi="Cambria" w:eastAsia="黑体"/>
      <w:szCs w:val="20"/>
    </w:rPr>
  </w:style>
  <w:style w:type="paragraph" w:styleId="4">
    <w:name w:val="Body Text Indent"/>
    <w:basedOn w:val="1"/>
    <w:link w:val="18"/>
    <w:qFormat/>
    <w:uiPriority w:val="0"/>
    <w:pPr>
      <w:spacing w:line="300" w:lineRule="auto"/>
      <w:ind w:firstLine="420" w:firstLineChars="200"/>
    </w:pPr>
    <w:rPr>
      <w:rFonts w:ascii="Times New Roman" w:hAnsi="宋体"/>
      <w:szCs w:val="20"/>
    </w:rPr>
  </w:style>
  <w:style w:type="paragraph" w:styleId="5">
    <w:name w:val="Date"/>
    <w:basedOn w:val="1"/>
    <w:next w:val="1"/>
    <w:link w:val="19"/>
    <w:unhideWhenUsed/>
    <w:qFormat/>
    <w:uiPriority w:val="99"/>
    <w:pPr>
      <w:ind w:left="100" w:leftChars="2500"/>
    </w:pPr>
  </w:style>
  <w:style w:type="paragraph" w:styleId="6">
    <w:name w:val="endnote text"/>
    <w:basedOn w:val="1"/>
    <w:link w:val="20"/>
    <w:qFormat/>
    <w:uiPriority w:val="99"/>
    <w:pPr>
      <w:snapToGrid w:val="0"/>
      <w:jc w:val="left"/>
    </w:pPr>
    <w:rPr>
      <w:szCs w:val="24"/>
    </w:rPr>
  </w:style>
  <w:style w:type="paragraph" w:styleId="7">
    <w:name w:val="Balloon Text"/>
    <w:basedOn w:val="1"/>
    <w:link w:val="21"/>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Hyperlink"/>
    <w:unhideWhenUsed/>
    <w:qFormat/>
    <w:uiPriority w:val="99"/>
    <w:rPr>
      <w:color w:val="0000FF"/>
      <w:u w:val="single"/>
    </w:rPr>
  </w:style>
  <w:style w:type="character" w:customStyle="1" w:styleId="17">
    <w:name w:val="标题 3 Char"/>
    <w:link w:val="2"/>
    <w:qFormat/>
    <w:uiPriority w:val="9"/>
    <w:rPr>
      <w:rFonts w:ascii="Times New Roman" w:hAnsi="Times New Roman"/>
      <w:b/>
      <w:bCs/>
      <w:szCs w:val="32"/>
    </w:rPr>
  </w:style>
  <w:style w:type="character" w:customStyle="1" w:styleId="18">
    <w:name w:val="正文文本缩进 Char"/>
    <w:link w:val="4"/>
    <w:qFormat/>
    <w:uiPriority w:val="0"/>
    <w:rPr>
      <w:rFonts w:ascii="Times New Roman" w:hAnsi="宋体" w:eastAsia="宋体" w:cs="Times New Roman"/>
      <w:szCs w:val="20"/>
    </w:rPr>
  </w:style>
  <w:style w:type="character" w:customStyle="1" w:styleId="19">
    <w:name w:val="日期 Char"/>
    <w:link w:val="5"/>
    <w:semiHidden/>
    <w:qFormat/>
    <w:uiPriority w:val="99"/>
  </w:style>
  <w:style w:type="character" w:customStyle="1" w:styleId="20">
    <w:name w:val="尾注文本 Char"/>
    <w:link w:val="6"/>
    <w:qFormat/>
    <w:uiPriority w:val="99"/>
    <w:rPr>
      <w:rFonts w:ascii="Calibri" w:hAnsi="Calibri" w:eastAsia="宋体" w:cs="Times New Roman"/>
      <w:szCs w:val="24"/>
    </w:rPr>
  </w:style>
  <w:style w:type="character" w:customStyle="1" w:styleId="21">
    <w:name w:val="批注框文本 Char"/>
    <w:link w:val="7"/>
    <w:semiHidden/>
    <w:qFormat/>
    <w:uiPriority w:val="99"/>
    <w:rPr>
      <w:sz w:val="18"/>
      <w:szCs w:val="18"/>
    </w:rPr>
  </w:style>
  <w:style w:type="character" w:customStyle="1" w:styleId="22">
    <w:name w:val="页脚 Char"/>
    <w:link w:val="8"/>
    <w:qFormat/>
    <w:uiPriority w:val="99"/>
    <w:rPr>
      <w:sz w:val="18"/>
      <w:szCs w:val="18"/>
    </w:rPr>
  </w:style>
  <w:style w:type="character" w:customStyle="1" w:styleId="23">
    <w:name w:val="页眉 Char"/>
    <w:link w:val="9"/>
    <w:qFormat/>
    <w:uiPriority w:val="99"/>
    <w:rPr>
      <w:sz w:val="18"/>
      <w:szCs w:val="18"/>
    </w:rPr>
  </w:style>
  <w:style w:type="paragraph" w:styleId="24">
    <w:name w:val="List Paragraph"/>
    <w:basedOn w:val="1"/>
    <w:qFormat/>
    <w:uiPriority w:val="34"/>
    <w:pPr>
      <w:ind w:firstLine="420" w:firstLineChars="200"/>
    </w:pPr>
  </w:style>
  <w:style w:type="paragraph" w:customStyle="1" w:styleId="25">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26">
    <w:name w:val="段 Char"/>
    <w:link w:val="25"/>
    <w:qFormat/>
    <w:uiPriority w:val="0"/>
    <w:rPr>
      <w:rFonts w:ascii="宋体" w:hAnsi="Times New Roman" w:cs="Times New Roman"/>
      <w:lang w:val="en-US" w:eastAsia="zh-CN" w:bidi="ar-SA"/>
    </w:rPr>
  </w:style>
  <w:style w:type="table" w:customStyle="1" w:styleId="27">
    <w:name w:val="浅色底纹1"/>
    <w:basedOn w:val="12"/>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BFBFBF"/>
      </w:tcPr>
    </w:tblStylePr>
    <w:tblStylePr w:type="band1Horz">
      <w:tcPr>
        <w:tcBorders>
          <w:top w:val="nil"/>
          <w:left w:val="nil"/>
          <w:bottom w:val="nil"/>
          <w:right w:val="nil"/>
          <w:insideH w:val="nil"/>
          <w:insideV w:val="nil"/>
          <w:tl2br w:val="nil"/>
          <w:tr2bl w:val="nil"/>
        </w:tcBorders>
        <w:shd w:val="clear" w:color="auto" w:fill="BFBFBF"/>
      </w:tcPr>
    </w:tblStylePr>
  </w:style>
  <w:style w:type="table" w:customStyle="1" w:styleId="28">
    <w:name w:val="网格型1"/>
    <w:basedOn w:val="12"/>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9">
    <w:name w:val="二级条标题"/>
    <w:basedOn w:val="1"/>
    <w:next w:val="25"/>
    <w:qFormat/>
    <w:uiPriority w:val="0"/>
    <w:pPr>
      <w:widowControl/>
      <w:numPr>
        <w:ilvl w:val="2"/>
        <w:numId w:val="1"/>
      </w:numPr>
      <w:spacing w:beforeLines="50" w:afterLines="50"/>
      <w:jc w:val="left"/>
      <w:outlineLvl w:val="3"/>
    </w:pPr>
    <w:rPr>
      <w:rFonts w:ascii="黑体" w:hAnsi="Times New Roman" w:eastAsia="黑体"/>
      <w:kern w:val="0"/>
      <w:szCs w:val="21"/>
    </w:rPr>
  </w:style>
  <w:style w:type="character" w:customStyle="1" w:styleId="30">
    <w:name w:val="headline-content2"/>
    <w:qFormat/>
    <w:uiPriority w:val="0"/>
  </w:style>
  <w:style w:type="paragraph" w:customStyle="1" w:styleId="31">
    <w:name w:val="章标题"/>
    <w:next w:val="25"/>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2">
    <w:name w:val="一级条标题"/>
    <w:next w:val="25"/>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3">
    <w:name w:val="二级无"/>
    <w:basedOn w:val="29"/>
    <w:qFormat/>
    <w:uiPriority w:val="0"/>
    <w:pPr>
      <w:spacing w:beforeLines="0" w:afterLines="0"/>
      <w:ind w:left="0" w:firstLine="0"/>
    </w:pPr>
    <w:rPr>
      <w:rFonts w:ascii="宋体" w:eastAsia="宋体"/>
    </w:rPr>
  </w:style>
  <w:style w:type="paragraph" w:customStyle="1" w:styleId="34">
    <w:name w:val="WPSOffice手动目录 1"/>
    <w:qFormat/>
    <w:uiPriority w:val="0"/>
    <w:rPr>
      <w:rFonts w:ascii="Calibri" w:hAnsi="Calibri" w:eastAsia="宋体" w:cs="Times New Roman"/>
      <w:lang w:val="en-US" w:eastAsia="zh-CN" w:bidi="ar-SA"/>
    </w:rPr>
  </w:style>
  <w:style w:type="paragraph" w:customStyle="1" w:styleId="35">
    <w:name w:val="标准文件_二级条标题"/>
    <w:basedOn w:val="1"/>
    <w:next w:val="36"/>
    <w:qFormat/>
    <w:uiPriority w:val="0"/>
    <w:pPr>
      <w:numPr>
        <w:ilvl w:val="3"/>
        <w:numId w:val="2"/>
      </w:numPr>
      <w:spacing w:before="50" w:beforeLines="50" w:after="50" w:afterLines="50"/>
      <w:outlineLvl w:val="2"/>
    </w:pPr>
    <w:rPr>
      <w:rFonts w:hint="eastAsia" w:ascii="黑体" w:hAnsi="Times New Roman" w:eastAsia="黑体"/>
      <w:kern w:val="0"/>
      <w:szCs w:val="20"/>
    </w:rPr>
  </w:style>
  <w:style w:type="paragraph" w:customStyle="1" w:styleId="36">
    <w:name w:val="标准文件_段"/>
    <w:basedOn w:val="1"/>
    <w:link w:val="37"/>
    <w:qFormat/>
    <w:uiPriority w:val="0"/>
    <w:pPr>
      <w:widowControl/>
      <w:autoSpaceDE w:val="0"/>
      <w:autoSpaceDN w:val="0"/>
      <w:ind w:firstLine="200" w:firstLineChars="200"/>
    </w:pPr>
    <w:rPr>
      <w:rFonts w:hint="eastAsia" w:ascii="宋体" w:hAnsi="Times New Roman"/>
      <w:kern w:val="0"/>
      <w:szCs w:val="20"/>
    </w:rPr>
  </w:style>
  <w:style w:type="character" w:customStyle="1" w:styleId="37">
    <w:name w:val="标准文件_段 Char"/>
    <w:link w:val="36"/>
    <w:qFormat/>
    <w:uiPriority w:val="0"/>
    <w:rPr>
      <w:rFonts w:hint="eastAsia" w:ascii="宋体" w:hAnsi="Times New Roman" w:eastAsia="宋体" w:cs="宋体"/>
      <w:sz w:val="21"/>
    </w:rPr>
  </w:style>
  <w:style w:type="paragraph" w:customStyle="1" w:styleId="38">
    <w:name w:val="标准文件_表格"/>
    <w:basedOn w:val="36"/>
    <w:qFormat/>
    <w:uiPriority w:val="0"/>
    <w:pPr>
      <w:ind w:firstLine="0" w:firstLineChars="0"/>
      <w:jc w:val="center"/>
    </w:pPr>
    <w:rPr>
      <w:sz w:val="18"/>
    </w:rPr>
  </w:style>
  <w:style w:type="paragraph" w:customStyle="1" w:styleId="39">
    <w:name w:val="标准文件_二级无标题"/>
    <w:basedOn w:val="35"/>
    <w:qFormat/>
    <w:uiPriority w:val="0"/>
    <w:pPr>
      <w:spacing w:before="0" w:beforeLines="0" w:after="0" w:afterLines="0"/>
      <w:outlineLvl w:val="9"/>
    </w:pPr>
    <w:rPr>
      <w:rFonts w:ascii="宋体" w:eastAsia="宋体"/>
    </w:rPr>
  </w:style>
  <w:style w:type="paragraph" w:customStyle="1" w:styleId="40">
    <w:name w:val="标准文件_一级项"/>
    <w:basedOn w:val="1"/>
    <w:qFormat/>
    <w:uiPriority w:val="0"/>
    <w:pPr>
      <w:widowControl/>
      <w:numPr>
        <w:ilvl w:val="0"/>
        <w:numId w:val="3"/>
      </w:numPr>
      <w:jc w:val="left"/>
    </w:pPr>
    <w:rPr>
      <w:rFonts w:hint="eastAsia" w:ascii="宋体" w:hAnsi="Times New Roman"/>
      <w:kern w:val="0"/>
      <w:szCs w:val="20"/>
    </w:rPr>
  </w:style>
  <w:style w:type="paragraph" w:customStyle="1" w:styleId="41">
    <w:name w:val="标准文件_章标题"/>
    <w:basedOn w:val="1"/>
    <w:next w:val="36"/>
    <w:qFormat/>
    <w:uiPriority w:val="0"/>
    <w:pPr>
      <w:widowControl/>
      <w:numPr>
        <w:ilvl w:val="1"/>
        <w:numId w:val="2"/>
      </w:numPr>
      <w:spacing w:before="100" w:beforeLines="100" w:after="100" w:afterLines="100"/>
      <w:outlineLvl w:val="0"/>
    </w:pPr>
    <w:rPr>
      <w:rFonts w:hint="eastAsia" w:ascii="黑体" w:hAnsi="Times New Roman" w:eastAsia="黑体"/>
      <w:kern w:val="0"/>
      <w:szCs w:val="20"/>
    </w:rPr>
  </w:style>
  <w:style w:type="paragraph" w:customStyle="1" w:styleId="42">
    <w:name w:val="标准文件_正文表标题"/>
    <w:basedOn w:val="1"/>
    <w:next w:val="36"/>
    <w:qFormat/>
    <w:uiPriority w:val="0"/>
    <w:pPr>
      <w:widowControl/>
      <w:numPr>
        <w:ilvl w:val="0"/>
        <w:numId w:val="4"/>
      </w:numPr>
      <w:tabs>
        <w:tab w:val="left" w:pos="0"/>
      </w:tabs>
      <w:spacing w:before="50" w:beforeLines="50" w:after="50" w:afterLines="50"/>
      <w:jc w:val="center"/>
    </w:pPr>
    <w:rPr>
      <w:rFonts w:hint="eastAsia" w:ascii="黑体" w:hAnsi="Times New Roman" w:eastAsia="黑体"/>
      <w:kern w:val="0"/>
      <w:szCs w:val="20"/>
    </w:rPr>
  </w:style>
  <w:style w:type="paragraph" w:customStyle="1" w:styleId="43">
    <w:name w:val="标准文件_一级条标题"/>
    <w:basedOn w:val="41"/>
    <w:next w:val="36"/>
    <w:qFormat/>
    <w:uiPriority w:val="0"/>
    <w:pPr>
      <w:numPr>
        <w:ilvl w:val="2"/>
      </w:numPr>
      <w:spacing w:before="50" w:beforeLines="50" w:after="50" w:afterLines="50"/>
      <w:outlineLvl w:val="1"/>
    </w:pPr>
  </w:style>
  <w:style w:type="paragraph" w:customStyle="1" w:styleId="44">
    <w:name w:val="标准文件_字母编号列项（一级）"/>
    <w:basedOn w:val="1"/>
    <w:qFormat/>
    <w:uiPriority w:val="0"/>
    <w:pPr>
      <w:widowControl/>
      <w:numPr>
        <w:ilvl w:val="0"/>
        <w:numId w:val="5"/>
      </w:numPr>
    </w:pPr>
    <w:rPr>
      <w:rFonts w:hint="eastAsia" w:ascii="宋体" w:hAnsi="Times New Roman"/>
      <w:kern w:val="0"/>
      <w:szCs w:val="20"/>
    </w:rPr>
  </w:style>
  <w:style w:type="paragraph" w:customStyle="1" w:styleId="45">
    <w:name w:val="标准文件_一级无标题"/>
    <w:basedOn w:val="43"/>
    <w:qFormat/>
    <w:uiPriority w:val="0"/>
    <w:pPr>
      <w:spacing w:before="0" w:beforeLines="0" w:after="0" w:afterLines="0"/>
      <w:outlineLvl w:val="9"/>
    </w:pPr>
    <w:rPr>
      <w:rFonts w:ascii="宋体" w:eastAsia="宋体"/>
    </w:rPr>
  </w:style>
  <w:style w:type="paragraph" w:customStyle="1" w:styleId="46">
    <w:name w:val="标准文件_注："/>
    <w:basedOn w:val="1"/>
    <w:next w:val="36"/>
    <w:qFormat/>
    <w:uiPriority w:val="0"/>
    <w:pPr>
      <w:numPr>
        <w:ilvl w:val="0"/>
        <w:numId w:val="6"/>
      </w:numPr>
      <w:autoSpaceDE w:val="0"/>
      <w:autoSpaceDN w:val="0"/>
    </w:pPr>
    <w:rPr>
      <w:rFonts w:hint="eastAsia" w:ascii="宋体" w:hAnsi="Times New Roman"/>
      <w:kern w:val="0"/>
      <w:sz w:val="18"/>
      <w:szCs w:val="18"/>
    </w:rPr>
  </w:style>
  <w:style w:type="paragraph" w:customStyle="1" w:styleId="47">
    <w:name w:val="标准文件_术语条一"/>
    <w:basedOn w:val="45"/>
    <w:next w:val="36"/>
    <w:qFormat/>
    <w:uiPriority w:val="0"/>
  </w:style>
  <w:style w:type="paragraph" w:customStyle="1" w:styleId="48">
    <w:name w:val="标准文件_三级条标题"/>
    <w:basedOn w:val="35"/>
    <w:next w:val="36"/>
    <w:qFormat/>
    <w:uiPriority w:val="0"/>
    <w:pPr>
      <w:widowControl/>
      <w:numPr>
        <w:ilvl w:val="4"/>
      </w:numPr>
      <w:outlineLvl w:val="3"/>
    </w:pPr>
  </w:style>
  <w:style w:type="paragraph" w:customStyle="1" w:styleId="49">
    <w:name w:val="标准文件_四级条标题"/>
    <w:next w:val="36"/>
    <w:qFormat/>
    <w:uiPriority w:val="0"/>
    <w:pPr>
      <w:widowControl w:val="0"/>
      <w:numPr>
        <w:ilvl w:val="5"/>
        <w:numId w:val="7"/>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50">
    <w:name w:val="fontstyle01"/>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479</Words>
  <Characters>2731</Characters>
  <Lines>22</Lines>
  <Paragraphs>6</Paragraphs>
  <TotalTime>26</TotalTime>
  <ScaleCrop>false</ScaleCrop>
  <LinksUpToDate>false</LinksUpToDate>
  <CharactersWithSpaces>3204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2023-07-26T03:44:00Z</dcterms:created>
  <dc:creator>yao jiang</dc:creator>
  <cp:lastModifiedBy>WPS_1669179566</cp:lastModifiedBy>
  <cp:lastPrinted>2022-11-10T07:01:00Z</cp:lastPrinted>
  <dcterms:modified xsi:type="dcterms:W3CDTF">2023-10-23T06:40:43Z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B4CFA810020C447C9538A0A9D5F7D79F</vt:lpwstr>
  </property>
</Properties>
</file>