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1F48" w14:textId="77777777" w:rsidR="006F5ADC" w:rsidRDefault="00000000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《液化天然气气瓶电容液位计》编制说明</w:t>
      </w:r>
    </w:p>
    <w:p w14:paraId="24F40352" w14:textId="77777777" w:rsidR="006F5ADC" w:rsidRDefault="00000000">
      <w:pPr>
        <w:pStyle w:val="aff3"/>
        <w:numPr>
          <w:ilvl w:val="0"/>
          <w:numId w:val="10"/>
        </w:numPr>
        <w:ind w:firstLineChars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范围</w:t>
      </w:r>
    </w:p>
    <w:p w14:paraId="40302580" w14:textId="77777777" w:rsidR="006F5ADC" w:rsidRDefault="00000000">
      <w:pPr>
        <w:pStyle w:val="aff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规定了液位计的适用温度范围，介质为液化天然气，对象为气瓶（焊接绝热气瓶及汽车用液化天然气气瓶）。</w:t>
      </w:r>
    </w:p>
    <w:p w14:paraId="121B68A2" w14:textId="77777777" w:rsidR="006F5ADC" w:rsidRDefault="00000000">
      <w:pPr>
        <w:pStyle w:val="aff3"/>
        <w:numPr>
          <w:ilvl w:val="0"/>
          <w:numId w:val="10"/>
        </w:numPr>
        <w:ind w:firstLineChars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规范性引用文件</w:t>
      </w:r>
    </w:p>
    <w:p w14:paraId="4089CD1E" w14:textId="77777777" w:rsidR="006F5ADC" w:rsidRDefault="00000000">
      <w:pPr>
        <w:pStyle w:val="aff3"/>
        <w:ind w:left="360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选取了本文件需要引用的标准规范，有利于本文件的具体实施。</w:t>
      </w:r>
    </w:p>
    <w:p w14:paraId="018ECF92" w14:textId="77777777" w:rsidR="006F5ADC" w:rsidRDefault="00000000">
      <w:pPr>
        <w:pStyle w:val="aff3"/>
        <w:numPr>
          <w:ilvl w:val="0"/>
          <w:numId w:val="10"/>
        </w:numPr>
        <w:ind w:firstLineChars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术语和定义</w:t>
      </w:r>
    </w:p>
    <w:p w14:paraId="5EBDB515" w14:textId="77777777" w:rsidR="006F5ADC" w:rsidRDefault="00000000">
      <w:pPr>
        <w:pStyle w:val="aff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术语和定义主要参考了GB/T 38617-2020《工业自动化仪表术语 物位仪表术语》，对有差异的术语进行了调整，如对“电容液位计”、“电容传感器”、“液位变送器”、“显示模块”、”重复性误差”、“回差”、“基本误差”等，新增的有“电容”、“密封组件”、“连接电缆”、“基准电容”、“标准电容”等。有些可以直接应用的术语如“电极”、“盲区”、“基本误差”、“回差”等。</w:t>
      </w:r>
    </w:p>
    <w:p w14:paraId="2ED8C471" w14:textId="77777777" w:rsidR="006F5ADC" w:rsidRDefault="00000000">
      <w:pPr>
        <w:pStyle w:val="aff3"/>
        <w:numPr>
          <w:ilvl w:val="0"/>
          <w:numId w:val="10"/>
        </w:numPr>
        <w:ind w:firstLineChars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设计</w:t>
      </w:r>
    </w:p>
    <w:p w14:paraId="4CF4F1E0" w14:textId="77777777" w:rsidR="006F5ADC" w:rsidRDefault="00000000">
      <w:pPr>
        <w:pStyle w:val="aff3"/>
        <w:numPr>
          <w:ilvl w:val="1"/>
          <w:numId w:val="10"/>
        </w:numPr>
        <w:ind w:left="426" w:firstLineChars="0" w:hanging="42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构成</w:t>
      </w:r>
    </w:p>
    <w:p w14:paraId="6BEFFB82" w14:textId="77777777" w:rsidR="006F5ADC" w:rsidRDefault="00000000">
      <w:pPr>
        <w:pStyle w:val="aff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由于工业用的气瓶可以采用干电池、锂电池等蓄电池，也可采用交流电变压成需要的电流，用作汽车动力燃料源的气瓶，都是采用车用电池（12V或24V）作为电源；因此电源不是必要提供项。</w:t>
      </w:r>
    </w:p>
    <w:p w14:paraId="7090A1F6" w14:textId="77777777" w:rsidR="006F5ADC" w:rsidRDefault="00000000">
      <w:pPr>
        <w:pStyle w:val="aff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图示只给出了卧式气瓶的形式，立式气瓶稍有差异就是内部的传感器引线很短，密封组件和电极连成一体。</w:t>
      </w:r>
    </w:p>
    <w:p w14:paraId="77A23E65" w14:textId="77777777" w:rsidR="006F5ADC" w:rsidRDefault="00000000">
      <w:pPr>
        <w:pStyle w:val="aff3"/>
        <w:numPr>
          <w:ilvl w:val="1"/>
          <w:numId w:val="10"/>
        </w:numPr>
        <w:ind w:left="426" w:firstLineChars="0" w:hanging="42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基本条件</w:t>
      </w:r>
    </w:p>
    <w:p w14:paraId="2640956A" w14:textId="77777777" w:rsidR="006F5ADC" w:rsidRDefault="00000000">
      <w:pPr>
        <w:pStyle w:val="aff3"/>
        <w:numPr>
          <w:ilvl w:val="0"/>
          <w:numId w:val="11"/>
        </w:numPr>
        <w:ind w:firstLineChars="0" w:hanging="84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传感器/传感器引线</w:t>
      </w:r>
    </w:p>
    <w:p w14:paraId="16B0CC91" w14:textId="77777777" w:rsidR="006F5ADC" w:rsidRDefault="00000000">
      <w:pPr>
        <w:pStyle w:val="aff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是考虑了制造时气瓶的加热可能达到的温度为160℃左右，以及在试验时使用的液氮温度-196℃；再有在此温度区间常用的聚四氟乙烯、聚三氟氯乙烯等较易于获得。</w:t>
      </w:r>
    </w:p>
    <w:p w14:paraId="17A48DFA" w14:textId="77777777" w:rsidR="006F5ADC" w:rsidRDefault="00000000">
      <w:pPr>
        <w:pStyle w:val="aff3"/>
        <w:numPr>
          <w:ilvl w:val="0"/>
          <w:numId w:val="11"/>
        </w:numPr>
        <w:ind w:firstLineChars="0" w:hanging="84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密封组件</w:t>
      </w:r>
    </w:p>
    <w:p w14:paraId="1EE7653F" w14:textId="77777777" w:rsidR="006F5ADC" w:rsidRDefault="00000000">
      <w:pPr>
        <w:pStyle w:val="aff3"/>
        <w:ind w:left="84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是考虑在试验时使用的液氮温度-196℃；汽车电气规定的温度为85℃。</w:t>
      </w:r>
    </w:p>
    <w:p w14:paraId="2E23E8EC" w14:textId="77777777" w:rsidR="006F5ADC" w:rsidRDefault="00000000">
      <w:pPr>
        <w:pStyle w:val="aff3"/>
        <w:numPr>
          <w:ilvl w:val="0"/>
          <w:numId w:val="11"/>
        </w:numPr>
        <w:ind w:firstLineChars="0" w:hanging="84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电气插接件/变送器/连接电缆</w:t>
      </w:r>
    </w:p>
    <w:p w14:paraId="32AB60B4" w14:textId="77777777" w:rsidR="006F5ADC" w:rsidRDefault="00000000">
      <w:pPr>
        <w:pStyle w:val="2"/>
        <w:numPr>
          <w:ilvl w:val="1"/>
          <w:numId w:val="0"/>
        </w:numPr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是考虑电气元件承受环境温度，因此取-40℃还是国内大部分区域的温度不低于-40℃。</w:t>
      </w:r>
    </w:p>
    <w:p w14:paraId="73A9B15B" w14:textId="77777777" w:rsidR="006F5ADC" w:rsidRDefault="00000000">
      <w:pPr>
        <w:pStyle w:val="aff3"/>
        <w:numPr>
          <w:ilvl w:val="0"/>
          <w:numId w:val="11"/>
        </w:numPr>
        <w:ind w:firstLineChars="0" w:hanging="84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显示模块</w:t>
      </w:r>
    </w:p>
    <w:p w14:paraId="5005D357" w14:textId="77777777" w:rsidR="006F5ADC" w:rsidRDefault="00000000">
      <w:pPr>
        <w:pStyle w:val="aff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一般认为-25℃对大部分显示模块是适用的，过度降低温度将增加不必要的成本。显示模块承受温度低于-25℃后需要订做，因此当有特殊需求是用户与制造厂提出具体的要求。</w:t>
      </w:r>
    </w:p>
    <w:p w14:paraId="0A897E03" w14:textId="77777777" w:rsidR="006F5ADC" w:rsidRDefault="00000000">
      <w:pPr>
        <w:pStyle w:val="aff3"/>
        <w:numPr>
          <w:ilvl w:val="0"/>
          <w:numId w:val="11"/>
        </w:numPr>
        <w:ind w:firstLineChars="0" w:hanging="84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电源</w:t>
      </w:r>
    </w:p>
    <w:p w14:paraId="57B3DE8E" w14:textId="2BB89645" w:rsidR="006F5ADC" w:rsidRDefault="00000000">
      <w:pPr>
        <w:pStyle w:val="a5"/>
        <w:numPr>
          <w:ilvl w:val="0"/>
          <w:numId w:val="0"/>
        </w:numPr>
        <w:ind w:firstLineChars="200" w:firstLine="420"/>
        <w:rPr>
          <w:rFonts w:hAnsi="宋体" w:cs="宋体"/>
          <w:kern w:val="2"/>
          <w:szCs w:val="21"/>
          <w:highlight w:val="yellow"/>
        </w:rPr>
      </w:pPr>
      <w:r>
        <w:rPr>
          <w:rFonts w:hAnsi="宋体" w:cs="宋体" w:hint="eastAsia"/>
          <w:kern w:val="2"/>
          <w:szCs w:val="21"/>
        </w:rPr>
        <w:t>汽车电源电池的标称电压为12V或24V；工业气瓶的电源海有可能是220V的交流电，需转换成适合的电压。“</w:t>
      </w:r>
      <w:r>
        <w:rPr>
          <w:rFonts w:hAnsi="宋体" w:cs="宋体" w:hint="eastAsia"/>
          <w:color w:val="555555"/>
          <w:szCs w:val="21"/>
          <w:shd w:val="clear" w:color="auto" w:fill="FFFFFF"/>
        </w:rPr>
        <w:t>在单体电池的峰值开路电压小于4.5V或最大电压及瞬态电流的乘积不超过33W的情况下，可不进行火花点燃放电试验</w:t>
      </w:r>
      <w:r>
        <w:rPr>
          <w:rFonts w:hAnsi="宋体" w:cs="宋体" w:hint="eastAsia"/>
          <w:kern w:val="2"/>
          <w:szCs w:val="21"/>
        </w:rPr>
        <w:t>”</w:t>
      </w:r>
    </w:p>
    <w:p w14:paraId="2A6DC088" w14:textId="77777777" w:rsidR="006F5ADC" w:rsidRDefault="00000000">
      <w:pPr>
        <w:pStyle w:val="aff3"/>
        <w:numPr>
          <w:ilvl w:val="0"/>
          <w:numId w:val="11"/>
        </w:numPr>
        <w:ind w:firstLineChars="0" w:hanging="84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IP防护要求</w:t>
      </w:r>
    </w:p>
    <w:p w14:paraId="4F7FFE2B" w14:textId="77777777" w:rsidR="006F5ADC" w:rsidRDefault="00000000">
      <w:pPr>
        <w:pStyle w:val="aff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电气插接件/变送器/显示模块的IP防护等级选取IP67可以满足在汽车环境以及露天环境（比如短时间大雨淋湿）使用。IP的防尘：将液位变送器放置于防尘箱内，不与真空泵连接，试验持续8h。IP的防水：将液位变送器放置于潜水箱内，水面在外壳顶部以上至少0.15m，外壳底面在水面以下至少1m，试验持续时间大于30min。</w:t>
      </w:r>
    </w:p>
    <w:p w14:paraId="39897613" w14:textId="77777777" w:rsidR="006F5ADC" w:rsidRDefault="00000000">
      <w:pPr>
        <w:pStyle w:val="aff3"/>
        <w:numPr>
          <w:ilvl w:val="0"/>
          <w:numId w:val="11"/>
        </w:numPr>
        <w:ind w:firstLineChars="0" w:hanging="84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整体性能要求</w:t>
      </w:r>
    </w:p>
    <w:p w14:paraId="698393BC" w14:textId="77777777" w:rsidR="006F5ADC" w:rsidRDefault="00000000">
      <w:pPr>
        <w:pStyle w:val="aff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由于相应的工业用液化天然气气瓶、汽车用液化天然气气瓶都预留了10%的气相空间，因此要求的最大偏差5%不会使得气瓶超装。出厂时的偏差小于使用时的偏差，考虑使用场景的不确定性。</w:t>
      </w:r>
    </w:p>
    <w:p w14:paraId="77C79585" w14:textId="77777777" w:rsidR="006F5ADC" w:rsidRDefault="00000000">
      <w:pPr>
        <w:pStyle w:val="aff3"/>
        <w:numPr>
          <w:ilvl w:val="0"/>
          <w:numId w:val="10"/>
        </w:numPr>
        <w:ind w:firstLineChars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检测</w:t>
      </w:r>
    </w:p>
    <w:p w14:paraId="3EC003AE" w14:textId="77777777" w:rsidR="006F5ADC" w:rsidRDefault="00000000">
      <w:pPr>
        <w:pStyle w:val="aff8"/>
        <w:numPr>
          <w:ilvl w:val="1"/>
          <w:numId w:val="10"/>
        </w:numPr>
        <w:spacing w:before="156" w:after="156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检测条件</w:t>
      </w:r>
    </w:p>
    <w:p w14:paraId="675A077F" w14:textId="77777777" w:rsidR="006F5ADC" w:rsidRDefault="00000000">
      <w:pPr>
        <w:pStyle w:val="aff8"/>
        <w:spacing w:before="156" w:after="156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确定检测需要的基本条件，才能检测条件对于检测来说进行了规定。</w:t>
      </w:r>
    </w:p>
    <w:p w14:paraId="03DE7273" w14:textId="77777777" w:rsidR="006F5ADC" w:rsidRDefault="00000000">
      <w:pPr>
        <w:pStyle w:val="aff3"/>
        <w:numPr>
          <w:ilvl w:val="1"/>
          <w:numId w:val="10"/>
        </w:numPr>
        <w:ind w:left="426" w:firstLineChars="0" w:hanging="42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误差检测</w:t>
      </w:r>
    </w:p>
    <w:p w14:paraId="07D95B0E" w14:textId="77777777" w:rsidR="006F5ADC" w:rsidRDefault="00000000">
      <w:pPr>
        <w:pStyle w:val="aff0"/>
        <w:spacing w:before="156" w:after="156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误差检测分为：传感器误差、变送器误差、液位计误差。液位计误差针对：基本误差、回差、重复性误差规定了方法。</w:t>
      </w:r>
    </w:p>
    <w:p w14:paraId="3886E12F" w14:textId="77777777" w:rsidR="006F5ADC" w:rsidRDefault="00000000">
      <w:pPr>
        <w:pStyle w:val="aff3"/>
        <w:numPr>
          <w:ilvl w:val="0"/>
          <w:numId w:val="10"/>
        </w:numPr>
        <w:ind w:firstLineChars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试验</w:t>
      </w:r>
    </w:p>
    <w:p w14:paraId="29798B49" w14:textId="77777777" w:rsidR="006F5ADC" w:rsidRDefault="00000000">
      <w:pPr>
        <w:pStyle w:val="aff3"/>
        <w:numPr>
          <w:ilvl w:val="1"/>
          <w:numId w:val="10"/>
        </w:numPr>
        <w:ind w:left="426" w:firstLineChars="0" w:hanging="42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规定了条件应符合5.1的要求。</w:t>
      </w:r>
    </w:p>
    <w:p w14:paraId="36E146BD" w14:textId="77777777" w:rsidR="006F5ADC" w:rsidRDefault="00000000">
      <w:pPr>
        <w:pStyle w:val="aff3"/>
        <w:numPr>
          <w:ilvl w:val="1"/>
          <w:numId w:val="10"/>
        </w:numPr>
        <w:ind w:left="426" w:firstLineChars="0" w:hanging="42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规定密封组件需进行常温、高温和低温三个场景的泄漏试验。</w:t>
      </w:r>
    </w:p>
    <w:p w14:paraId="7B63849E" w14:textId="77777777" w:rsidR="006F5ADC" w:rsidRDefault="00000000">
      <w:pPr>
        <w:pStyle w:val="aff3"/>
        <w:numPr>
          <w:ilvl w:val="1"/>
          <w:numId w:val="10"/>
        </w:numPr>
        <w:ind w:left="426" w:firstLineChars="0" w:hanging="426"/>
        <w:rPr>
          <w:rFonts w:ascii="Calibri" w:hAnsi="Calibri"/>
          <w:szCs w:val="21"/>
          <w:lang w:bidi="ar"/>
        </w:rPr>
      </w:pPr>
      <w:r>
        <w:rPr>
          <w:rFonts w:ascii="宋体" w:eastAsia="宋体" w:hAnsi="宋体" w:cs="宋体" w:hint="eastAsia"/>
          <w:szCs w:val="21"/>
        </w:rPr>
        <w:t>选择了适用于汽车的试验（车用气瓶作为汽车的部件长期固定于车上），因此也适用与运输的产品（工业气瓶运输的时间一般少于车用气瓶）。试验分为：电气负荷</w:t>
      </w:r>
      <w:bookmarkStart w:id="0" w:name="_Toc350192320"/>
      <w:bookmarkStart w:id="1" w:name="_Toc350350379"/>
      <w:r>
        <w:rPr>
          <w:rFonts w:ascii="宋体" w:eastAsia="宋体" w:hAnsi="宋体" w:cs="宋体" w:hint="eastAsia"/>
          <w:szCs w:val="21"/>
        </w:rPr>
        <w:t>试验（直流供电电压、过电压、供电电压瞬态变化、反向电压、开</w:t>
      </w:r>
      <w:r>
        <w:rPr>
          <w:rFonts w:ascii="宋体" w:eastAsia="宋体" w:hAnsi="宋体" w:cs="宋体" w:hint="eastAsia"/>
          <w:szCs w:val="21"/>
          <w:lang w:bidi="ar"/>
        </w:rPr>
        <w:t>路试验和短路保护</w:t>
      </w:r>
      <w:r>
        <w:rPr>
          <w:rFonts w:ascii="宋体" w:eastAsia="宋体" w:hAnsi="宋体" w:cs="宋体" w:hint="eastAsia"/>
          <w:szCs w:val="21"/>
        </w:rPr>
        <w:t>）、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机械</w:t>
      </w:r>
      <w:bookmarkEnd w:id="0"/>
      <w:bookmarkEnd w:id="1"/>
      <w:r>
        <w:rPr>
          <w:rFonts w:ascii="宋体" w:eastAsia="宋体" w:hAnsi="宋体" w:cs="宋体" w:hint="eastAsia"/>
          <w:szCs w:val="21"/>
        </w:rPr>
        <w:t>负荷（</w:t>
      </w:r>
      <w:r>
        <w:rPr>
          <w:rFonts w:ascii="宋体" w:eastAsia="宋体" w:hAnsi="宋体" w:cs="宋体" w:hint="eastAsia"/>
          <w:szCs w:val="21"/>
          <w:lang w:bidi="ar"/>
        </w:rPr>
        <w:t>振动、机械冲击和自由跌落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  <w:lang w:bidi="ar"/>
        </w:rPr>
        <w:t>、</w:t>
      </w:r>
      <w:r>
        <w:rPr>
          <w:rFonts w:ascii="宋体" w:eastAsia="宋体" w:hAnsi="宋体" w:cs="宋体" w:hint="eastAsia"/>
          <w:szCs w:val="21"/>
        </w:rPr>
        <w:t>气候负荷（</w:t>
      </w:r>
      <w:r>
        <w:rPr>
          <w:rFonts w:ascii="宋体" w:eastAsia="宋体" w:hAnsi="宋体" w:cs="宋体" w:hint="eastAsia"/>
          <w:kern w:val="0"/>
          <w:szCs w:val="21"/>
          <w:lang w:bidi="ar"/>
        </w:rPr>
        <w:t>低温贮存状态、高温贮存状态、低温工作状态、高温工作状态</w:t>
      </w:r>
      <w:r>
        <w:rPr>
          <w:rFonts w:ascii="宋体" w:eastAsia="宋体" w:hAnsi="宋体" w:cs="宋体" w:hint="eastAsia"/>
          <w:szCs w:val="21"/>
        </w:rPr>
        <w:t>）、</w:t>
      </w:r>
      <w:r>
        <w:rPr>
          <w:rFonts w:ascii="宋体" w:eastAsia="宋体" w:hAnsi="宋体" w:cs="宋体" w:hint="eastAsia"/>
          <w:kern w:val="0"/>
          <w:szCs w:val="21"/>
          <w:lang w:bidi="ar"/>
        </w:rPr>
        <w:t>电骚扰（</w:t>
      </w:r>
      <w:r>
        <w:rPr>
          <w:rFonts w:ascii="宋体" w:eastAsia="宋体" w:hAnsi="宋体" w:cs="宋体" w:hint="eastAsia"/>
          <w:szCs w:val="21"/>
          <w:lang w:bidi="ar"/>
        </w:rPr>
        <w:t>沿电源线的电瞬态传导发射和抗扰性、对耦合到非电源线的电瞬态的抗扰性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）、</w:t>
      </w:r>
      <w:r>
        <w:rPr>
          <w:rFonts w:ascii="宋体" w:eastAsia="宋体" w:hAnsi="宋体" w:cs="宋体" w:hint="eastAsia"/>
          <w:szCs w:val="21"/>
          <w:lang w:bidi="ar"/>
        </w:rPr>
        <w:t>电磁兼容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（静电放电抗扰度试验，射频电磁场辐射抗扰度）。</w:t>
      </w:r>
    </w:p>
    <w:p w14:paraId="3D489373" w14:textId="77777777" w:rsidR="006F5ADC" w:rsidRDefault="00000000">
      <w:pPr>
        <w:pStyle w:val="aff3"/>
        <w:numPr>
          <w:ilvl w:val="1"/>
          <w:numId w:val="10"/>
        </w:numPr>
        <w:ind w:left="426" w:firstLineChars="0" w:hanging="42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对防护等级和防爆的提出了试验的标准。</w:t>
      </w:r>
    </w:p>
    <w:p w14:paraId="244D84A3" w14:textId="77777777" w:rsidR="006F5ADC" w:rsidRDefault="00000000">
      <w:pPr>
        <w:pStyle w:val="aff7"/>
        <w:numPr>
          <w:ilvl w:val="0"/>
          <w:numId w:val="10"/>
        </w:numPr>
        <w:spacing w:before="312" w:after="312"/>
        <w:rPr>
          <w:rFonts w:hAnsi="黑体" w:cs="黑体"/>
          <w:szCs w:val="21"/>
        </w:rPr>
      </w:pPr>
      <w:bookmarkStart w:id="2" w:name="_Toc350350384"/>
      <w:r>
        <w:rPr>
          <w:rFonts w:hAnsi="黑体" w:cs="黑体" w:hint="eastAsia"/>
          <w:szCs w:val="21"/>
        </w:rPr>
        <w:t>检验规则</w:t>
      </w:r>
      <w:bookmarkStart w:id="3" w:name="_Toc350192324"/>
      <w:bookmarkStart w:id="4" w:name="_Toc350350385"/>
      <w:bookmarkEnd w:id="2"/>
    </w:p>
    <w:p w14:paraId="4CE61D3B" w14:textId="77777777" w:rsidR="006F5ADC" w:rsidRDefault="00000000">
      <w:pPr>
        <w:pStyle w:val="aff7"/>
        <w:spacing w:before="312" w:after="312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主要是针对出厂检验</w:t>
      </w:r>
      <w:bookmarkStart w:id="5" w:name="_Toc350350386"/>
      <w:bookmarkStart w:id="6" w:name="_Toc350192325"/>
      <w:bookmarkEnd w:id="3"/>
      <w:bookmarkEnd w:id="4"/>
      <w:r>
        <w:rPr>
          <w:rFonts w:ascii="宋体" w:eastAsia="宋体" w:hAnsi="宋体" w:cs="宋体" w:hint="eastAsia"/>
          <w:szCs w:val="21"/>
        </w:rPr>
        <w:t>和型式检验</w:t>
      </w:r>
      <w:bookmarkEnd w:id="5"/>
      <w:bookmarkEnd w:id="6"/>
      <w:r>
        <w:rPr>
          <w:rFonts w:ascii="宋体" w:eastAsia="宋体" w:hAnsi="宋体" w:cs="宋体" w:hint="eastAsia"/>
          <w:szCs w:val="21"/>
        </w:rPr>
        <w:t>做了规定。</w:t>
      </w:r>
    </w:p>
    <w:p w14:paraId="32FC4D3B" w14:textId="77777777" w:rsidR="006F5ADC" w:rsidRDefault="00000000">
      <w:pPr>
        <w:pStyle w:val="aff7"/>
        <w:spacing w:before="312" w:after="312"/>
        <w:rPr>
          <w:rFonts w:hAnsi="黑体" w:cs="黑体"/>
          <w:szCs w:val="21"/>
        </w:rPr>
      </w:pPr>
      <w:bookmarkStart w:id="7" w:name="_Toc350350390"/>
      <w:r>
        <w:rPr>
          <w:rFonts w:hAnsi="黑体" w:cs="黑体" w:hint="eastAsia"/>
          <w:szCs w:val="21"/>
        </w:rPr>
        <w:t>8.标志、包装、运输、贮存</w:t>
      </w:r>
      <w:bookmarkEnd w:id="7"/>
    </w:p>
    <w:p w14:paraId="142BA063" w14:textId="77777777" w:rsidR="006F5ADC" w:rsidRDefault="00000000">
      <w:pPr>
        <w:pStyle w:val="a5"/>
        <w:numPr>
          <w:ilvl w:val="0"/>
          <w:numId w:val="0"/>
        </w:numPr>
        <w:tabs>
          <w:tab w:val="clear" w:pos="1276"/>
        </w:tabs>
        <w:ind w:firstLineChars="200" w:firstLine="420"/>
        <w:jc w:val="left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对液位计的标志、包装、运输、贮存进行了规定，能更好地保证用户使用时是完好的。</w:t>
      </w:r>
    </w:p>
    <w:p w14:paraId="68B4A22C" w14:textId="77777777" w:rsidR="006F5ADC" w:rsidRDefault="006F5ADC">
      <w:pPr>
        <w:pStyle w:val="aff3"/>
        <w:ind w:left="426" w:firstLineChars="0" w:firstLine="0"/>
        <w:rPr>
          <w:rFonts w:ascii="宋体" w:eastAsia="宋体" w:hAnsi="宋体" w:cs="宋体"/>
          <w:szCs w:val="21"/>
        </w:rPr>
      </w:pPr>
    </w:p>
    <w:sectPr w:rsidR="006F5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4CDC0" w14:textId="77777777" w:rsidR="004A48A8" w:rsidRDefault="004A48A8" w:rsidP="00BD4466">
      <w:r>
        <w:separator/>
      </w:r>
    </w:p>
  </w:endnote>
  <w:endnote w:type="continuationSeparator" w:id="0">
    <w:p w14:paraId="19A636F2" w14:textId="77777777" w:rsidR="004A48A8" w:rsidRDefault="004A48A8" w:rsidP="00BD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F821A" w14:textId="77777777" w:rsidR="004A48A8" w:rsidRDefault="004A48A8" w:rsidP="00BD4466">
      <w:r>
        <w:separator/>
      </w:r>
    </w:p>
  </w:footnote>
  <w:footnote w:type="continuationSeparator" w:id="0">
    <w:p w14:paraId="480EC420" w14:textId="77777777" w:rsidR="004A48A8" w:rsidRDefault="004A48A8" w:rsidP="00BD4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80037"/>
    <w:multiLevelType w:val="multilevel"/>
    <w:tmpl w:val="18180037"/>
    <w:lvl w:ilvl="0">
      <w:start w:val="1"/>
      <w:numFmt w:val="decimal"/>
      <w:lvlText w:val="4.2.%1"/>
      <w:lvlJc w:val="left"/>
      <w:pPr>
        <w:ind w:left="846" w:hanging="420"/>
      </w:pPr>
      <w:rPr>
        <w:rFonts w:ascii="黑体" w:eastAsia="黑体" w:hAnsi="黑体" w:hint="eastAsia"/>
        <w:b/>
        <w:bCs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1993488B"/>
    <w:multiLevelType w:val="multilevel"/>
    <w:tmpl w:val="1993488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黑体" w:eastAsia="黑体" w:hAnsi="黑体" w:cs="Times New Roman" w:hint="default"/>
      </w:rPr>
    </w:lvl>
    <w:lvl w:ilvl="3">
      <w:start w:val="1"/>
      <w:numFmt w:val="decimal"/>
      <w:pStyle w:val="a"/>
      <w:isLgl/>
      <w:lvlText w:val="%1.%2.%3.%4"/>
      <w:lvlJc w:val="left"/>
      <w:pPr>
        <w:ind w:left="720" w:hanging="720"/>
      </w:pPr>
      <w:rPr>
        <w:rFonts w:ascii="黑体" w:eastAsia="黑体" w:hAnsi="黑体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黑体" w:eastAsia="黑体" w:hAnsi="黑体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C5917C3"/>
    <w:multiLevelType w:val="multilevel"/>
    <w:tmpl w:val="2C5917C3"/>
    <w:lvl w:ilvl="0">
      <w:start w:val="1"/>
      <w:numFmt w:val="none"/>
      <w:pStyle w:val="a0"/>
      <w:lvlText w:val="%1——"/>
      <w:lvlJc w:val="left"/>
      <w:pPr>
        <w:tabs>
          <w:tab w:val="left" w:pos="851"/>
        </w:tabs>
        <w:ind w:left="851" w:hanging="426"/>
      </w:pPr>
      <w:rPr>
        <w:rFonts w:ascii="Times New Roman" w:eastAsia="宋体" w:hAnsi="Times New Roman" w:cs="Times New Roman" w:hint="default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1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 w15:restartNumberingAfterBreak="0">
    <w:nsid w:val="2CE911F7"/>
    <w:multiLevelType w:val="multilevel"/>
    <w:tmpl w:val="2CE911F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a2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 w15:restartNumberingAfterBreak="0">
    <w:nsid w:val="32F04FB2"/>
    <w:multiLevelType w:val="multilevel"/>
    <w:tmpl w:val="32F04FB2"/>
    <w:lvl w:ilvl="0">
      <w:start w:val="1"/>
      <w:numFmt w:val="lowerLetter"/>
      <w:pStyle w:val="a3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5" w15:restartNumberingAfterBreak="0">
    <w:nsid w:val="44C50F90"/>
    <w:multiLevelType w:val="multilevel"/>
    <w:tmpl w:val="44C50F90"/>
    <w:lvl w:ilvl="0">
      <w:start w:val="1"/>
      <w:numFmt w:val="lowerLetter"/>
      <w:pStyle w:val="a4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5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6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6" w15:restartNumberingAfterBreak="0">
    <w:nsid w:val="557C2AF5"/>
    <w:multiLevelType w:val="multilevel"/>
    <w:tmpl w:val="557C2AF5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7" w15:restartNumberingAfterBreak="0">
    <w:nsid w:val="5E3B37B4"/>
    <w:multiLevelType w:val="multilevel"/>
    <w:tmpl w:val="5E3B37B4"/>
    <w:lvl w:ilvl="0">
      <w:start w:val="1"/>
      <w:numFmt w:val="decimal"/>
      <w:lvlText w:val="%1."/>
      <w:lvlJc w:val="left"/>
      <w:pPr>
        <w:ind w:left="360" w:hanging="360"/>
      </w:pPr>
      <w:rPr>
        <w:rFonts w:ascii="方正黑体简体" w:eastAsia="方正黑体简体" w:hAnsi="方正黑体简体" w:cs="方正黑体简体"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ascii="方正黑体简体" w:eastAsia="方正黑体简体" w:hAnsi="方正黑体简体" w:cs="方正黑体简体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46260FA"/>
    <w:multiLevelType w:val="multilevel"/>
    <w:tmpl w:val="646260FA"/>
    <w:lvl w:ilvl="0">
      <w:start w:val="1"/>
      <w:numFmt w:val="decimal"/>
      <w:pStyle w:val="a8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 w15:restartNumberingAfterBreak="0">
    <w:nsid w:val="6CEA2025"/>
    <w:multiLevelType w:val="multilevel"/>
    <w:tmpl w:val="6CEA2025"/>
    <w:lvl w:ilvl="0">
      <w:start w:val="1"/>
      <w:numFmt w:val="none"/>
      <w:pStyle w:val="a9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a"/>
      <w:suff w:val="nothing"/>
      <w:lvlText w:val="%1%2　"/>
      <w:lvlJc w:val="left"/>
      <w:pPr>
        <w:ind w:left="851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b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%2.%3.%4　"/>
      <w:lvlJc w:val="left"/>
      <w:pPr>
        <w:ind w:left="567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lvlText w:val="3.5.%5"/>
      <w:lvlJc w:val="left"/>
      <w:pPr>
        <w:ind w:left="284"/>
      </w:pPr>
      <w:rPr>
        <w:rFonts w:ascii="黑体" w:eastAsia="黑体" w:hAnsi="黑体" w:cs="Times New Roman" w:hint="eastAsia"/>
        <w:b w:val="0"/>
        <w:i w:val="0"/>
        <w:sz w:val="21"/>
      </w:rPr>
    </w:lvl>
    <w:lvl w:ilvl="5">
      <w:start w:val="1"/>
      <w:numFmt w:val="decimal"/>
      <w:pStyle w:val="ad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0" w15:restartNumberingAfterBreak="0">
    <w:nsid w:val="6DBF04F4"/>
    <w:multiLevelType w:val="multilevel"/>
    <w:tmpl w:val="6DBF04F4"/>
    <w:lvl w:ilvl="0">
      <w:start w:val="1"/>
      <w:numFmt w:val="none"/>
      <w:pStyle w:val="ae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 w16cid:durableId="117261049">
    <w:abstractNumId w:val="3"/>
  </w:num>
  <w:num w:numId="2" w16cid:durableId="31734182">
    <w:abstractNumId w:val="9"/>
  </w:num>
  <w:num w:numId="3" w16cid:durableId="342902133">
    <w:abstractNumId w:val="1"/>
  </w:num>
  <w:num w:numId="4" w16cid:durableId="835606189">
    <w:abstractNumId w:val="2"/>
  </w:num>
  <w:num w:numId="5" w16cid:durableId="1821000389">
    <w:abstractNumId w:val="5"/>
  </w:num>
  <w:num w:numId="6" w16cid:durableId="598871441">
    <w:abstractNumId w:val="6"/>
  </w:num>
  <w:num w:numId="7" w16cid:durableId="1192298406">
    <w:abstractNumId w:val="4"/>
  </w:num>
  <w:num w:numId="8" w16cid:durableId="1914193467">
    <w:abstractNumId w:val="8"/>
  </w:num>
  <w:num w:numId="9" w16cid:durableId="261959625">
    <w:abstractNumId w:val="10"/>
  </w:num>
  <w:num w:numId="10" w16cid:durableId="155339906">
    <w:abstractNumId w:val="7"/>
  </w:num>
  <w:num w:numId="11" w16cid:durableId="41015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NlYzU2NDZlZWRhZGY1YzdjNGExMDUwNGJjODllMjkifQ=="/>
  </w:docVars>
  <w:rsids>
    <w:rsidRoot w:val="002A02D6"/>
    <w:rsid w:val="00076572"/>
    <w:rsid w:val="000D2EBF"/>
    <w:rsid w:val="002A02D6"/>
    <w:rsid w:val="002F471E"/>
    <w:rsid w:val="00352326"/>
    <w:rsid w:val="00466CBD"/>
    <w:rsid w:val="004A48A8"/>
    <w:rsid w:val="00530530"/>
    <w:rsid w:val="00540004"/>
    <w:rsid w:val="005A52A5"/>
    <w:rsid w:val="006459C0"/>
    <w:rsid w:val="006F5ADC"/>
    <w:rsid w:val="00816B98"/>
    <w:rsid w:val="009B5D48"/>
    <w:rsid w:val="00B8506C"/>
    <w:rsid w:val="00BD4466"/>
    <w:rsid w:val="00C04E0F"/>
    <w:rsid w:val="00D11315"/>
    <w:rsid w:val="00D63F07"/>
    <w:rsid w:val="00D765D2"/>
    <w:rsid w:val="00DF688E"/>
    <w:rsid w:val="00E45E8C"/>
    <w:rsid w:val="00ED50D2"/>
    <w:rsid w:val="00FE3818"/>
    <w:rsid w:val="02FF13AB"/>
    <w:rsid w:val="03EA4395"/>
    <w:rsid w:val="04F76DD4"/>
    <w:rsid w:val="09840E52"/>
    <w:rsid w:val="0CCF7A0E"/>
    <w:rsid w:val="0D2E7F82"/>
    <w:rsid w:val="10752BF6"/>
    <w:rsid w:val="11DD04A2"/>
    <w:rsid w:val="17667039"/>
    <w:rsid w:val="27D90D63"/>
    <w:rsid w:val="2D856DC3"/>
    <w:rsid w:val="38950586"/>
    <w:rsid w:val="38F37ADD"/>
    <w:rsid w:val="39706886"/>
    <w:rsid w:val="3D630331"/>
    <w:rsid w:val="405F3261"/>
    <w:rsid w:val="4B6F31A3"/>
    <w:rsid w:val="4C5C1781"/>
    <w:rsid w:val="5365617D"/>
    <w:rsid w:val="542919A7"/>
    <w:rsid w:val="55756002"/>
    <w:rsid w:val="59E06E1B"/>
    <w:rsid w:val="5CC606DB"/>
    <w:rsid w:val="624E566B"/>
    <w:rsid w:val="6A040503"/>
    <w:rsid w:val="6B652E63"/>
    <w:rsid w:val="6C0509C0"/>
    <w:rsid w:val="6DEF6B93"/>
    <w:rsid w:val="76AA4771"/>
    <w:rsid w:val="7822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9B66F"/>
  <w15:docId w15:val="{B38509D7-D11E-4802-B2E2-CD27A629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">
    <w:name w:val="Normal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f"/>
    <w:next w:val="af"/>
    <w:link w:val="10"/>
    <w:autoRedefine/>
    <w:uiPriority w:val="9"/>
    <w:qFormat/>
    <w:pPr>
      <w:keepNext/>
      <w:keepLines/>
      <w:spacing w:before="340" w:after="330" w:line="578" w:lineRule="auto"/>
      <w:jc w:val="left"/>
      <w:outlineLvl w:val="0"/>
    </w:pPr>
    <w:rPr>
      <w:rFonts w:ascii="MingLiU_HKSCS" w:eastAsia="MingLiU_HKSCS" w:hAnsi="MingLiU_HKSCS" w:cs="MingLiU_HKSCS"/>
      <w:b/>
      <w:bCs/>
      <w:color w:val="000000"/>
      <w:kern w:val="44"/>
      <w:sz w:val="44"/>
      <w:szCs w:val="44"/>
      <w:lang w:eastAsia="en-US"/>
    </w:rPr>
  </w:style>
  <w:style w:type="paragraph" w:styleId="20">
    <w:name w:val="heading 2"/>
    <w:basedOn w:val="af"/>
    <w:next w:val="af"/>
    <w:link w:val="21"/>
    <w:autoRedefine/>
    <w:uiPriority w:val="9"/>
    <w:qFormat/>
    <w:pPr>
      <w:keepNext/>
      <w:keepLines/>
      <w:spacing w:before="260" w:after="260" w:line="416" w:lineRule="auto"/>
      <w:jc w:val="left"/>
      <w:outlineLvl w:val="1"/>
    </w:pPr>
    <w:rPr>
      <w:rFonts w:ascii="Cambria" w:eastAsia="宋体" w:hAnsi="Cambria"/>
      <w:b/>
      <w:bCs/>
      <w:color w:val="000000"/>
      <w:kern w:val="0"/>
      <w:sz w:val="32"/>
      <w:szCs w:val="32"/>
      <w:lang w:eastAsia="en-US"/>
    </w:rPr>
  </w:style>
  <w:style w:type="paragraph" w:styleId="8">
    <w:name w:val="heading 8"/>
    <w:basedOn w:val="af"/>
    <w:next w:val="af"/>
    <w:link w:val="80"/>
    <w:autoRedefine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paragraph" w:styleId="af3">
    <w:name w:val="annotation text"/>
    <w:basedOn w:val="af"/>
    <w:autoRedefine/>
    <w:uiPriority w:val="99"/>
    <w:unhideWhenUsed/>
    <w:qFormat/>
    <w:pPr>
      <w:jc w:val="left"/>
    </w:pPr>
  </w:style>
  <w:style w:type="paragraph" w:styleId="af4">
    <w:name w:val="footer"/>
    <w:basedOn w:val="af"/>
    <w:link w:val="af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f"/>
    <w:link w:val="af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8">
    <w:name w:val="Normal (Web)"/>
    <w:basedOn w:val="af"/>
    <w:autoRedefine/>
    <w:uiPriority w:val="99"/>
    <w:semiHidden/>
    <w:unhideWhenUsed/>
    <w:qFormat/>
    <w:rPr>
      <w:sz w:val="24"/>
    </w:rPr>
  </w:style>
  <w:style w:type="table" w:styleId="af9">
    <w:name w:val="Table Grid"/>
    <w:basedOn w:val="af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autoRedefine/>
    <w:uiPriority w:val="99"/>
    <w:qFormat/>
    <w:rPr>
      <w:rFonts w:cs="Times New Roman"/>
      <w:sz w:val="21"/>
    </w:rPr>
  </w:style>
  <w:style w:type="paragraph" w:customStyle="1" w:styleId="a2">
    <w:name w:val="标准文件_术语条二"/>
    <w:basedOn w:val="af"/>
    <w:next w:val="af"/>
    <w:autoRedefine/>
    <w:qFormat/>
    <w:pPr>
      <w:numPr>
        <w:ilvl w:val="3"/>
        <w:numId w:val="1"/>
      </w:numPr>
    </w:pPr>
    <w:rPr>
      <w:rFonts w:ascii="宋体" w:eastAsia="宋体" w:hAnsi="Times New Roman"/>
      <w:kern w:val="0"/>
      <w:szCs w:val="20"/>
    </w:rPr>
  </w:style>
  <w:style w:type="paragraph" w:customStyle="1" w:styleId="afb">
    <w:name w:val="段"/>
    <w:link w:val="CharChar"/>
    <w:autoRedefine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character" w:customStyle="1" w:styleId="CharChar">
    <w:name w:val="段 Char Char"/>
    <w:link w:val="afb"/>
    <w:autoRedefine/>
    <w:qFormat/>
    <w:locked/>
    <w:rPr>
      <w:rFonts w:ascii="宋体" w:eastAsia="宋体" w:hAnsi="Times New Roman"/>
      <w:sz w:val="21"/>
    </w:rPr>
  </w:style>
  <w:style w:type="paragraph" w:customStyle="1" w:styleId="afc">
    <w:name w:val="标准书眉一"/>
    <w:autoRedefine/>
    <w:qFormat/>
    <w:pPr>
      <w:jc w:val="both"/>
    </w:pPr>
    <w:rPr>
      <w:rFonts w:ascii="Times New Roman" w:hAnsi="Times New Roman"/>
    </w:rPr>
  </w:style>
  <w:style w:type="paragraph" w:customStyle="1" w:styleId="aa">
    <w:name w:val="章标题"/>
    <w:next w:val="afb"/>
    <w:autoRedefine/>
    <w:qFormat/>
    <w:pPr>
      <w:numPr>
        <w:ilvl w:val="1"/>
        <w:numId w:val="2"/>
      </w:numPr>
      <w:spacing w:beforeLines="50" w:before="50" w:afterLines="50" w:after="50"/>
      <w:jc w:val="both"/>
      <w:outlineLvl w:val="1"/>
    </w:pPr>
    <w:rPr>
      <w:rFonts w:ascii="黑体" w:eastAsia="黑体" w:hAnsi="黑体"/>
      <w:sz w:val="21"/>
    </w:rPr>
  </w:style>
  <w:style w:type="paragraph" w:customStyle="1" w:styleId="ab">
    <w:name w:val="一级条标题"/>
    <w:next w:val="afb"/>
    <w:link w:val="Char"/>
    <w:autoRedefine/>
    <w:qFormat/>
    <w:pPr>
      <w:numPr>
        <w:ilvl w:val="2"/>
        <w:numId w:val="2"/>
      </w:numPr>
      <w:outlineLvl w:val="2"/>
    </w:pPr>
    <w:rPr>
      <w:rFonts w:ascii="Times New Roman" w:eastAsia="黑体" w:hAnsi="Times New Roman"/>
      <w:sz w:val="21"/>
    </w:rPr>
  </w:style>
  <w:style w:type="character" w:customStyle="1" w:styleId="Char">
    <w:name w:val="一级条标题 Char"/>
    <w:link w:val="ab"/>
    <w:autoRedefine/>
    <w:qFormat/>
    <w:locked/>
    <w:rPr>
      <w:rFonts w:ascii="Times New Roman" w:eastAsia="黑体" w:hAnsi="Times New Roman"/>
      <w:sz w:val="21"/>
    </w:rPr>
  </w:style>
  <w:style w:type="paragraph" w:customStyle="1" w:styleId="ac">
    <w:name w:val="二级条标题"/>
    <w:basedOn w:val="ab"/>
    <w:next w:val="afb"/>
    <w:link w:val="Char0"/>
    <w:autoRedefine/>
    <w:qFormat/>
    <w:pPr>
      <w:numPr>
        <w:ilvl w:val="3"/>
      </w:numPr>
      <w:spacing w:line="360" w:lineRule="auto"/>
      <w:outlineLvl w:val="3"/>
    </w:pPr>
    <w:rPr>
      <w:b/>
    </w:rPr>
  </w:style>
  <w:style w:type="character" w:customStyle="1" w:styleId="Char0">
    <w:name w:val="二级条标题 Char"/>
    <w:link w:val="ac"/>
    <w:autoRedefine/>
    <w:qFormat/>
    <w:locked/>
    <w:rPr>
      <w:rFonts w:ascii="Times New Roman" w:eastAsia="黑体" w:hAnsi="Times New Roman"/>
      <w:b/>
      <w:sz w:val="21"/>
    </w:rPr>
  </w:style>
  <w:style w:type="paragraph" w:customStyle="1" w:styleId="afd">
    <w:name w:val="三级条标题"/>
    <w:basedOn w:val="ac"/>
    <w:next w:val="afb"/>
    <w:link w:val="Char1"/>
    <w:autoRedefine/>
    <w:qFormat/>
    <w:pPr>
      <w:numPr>
        <w:ilvl w:val="0"/>
        <w:numId w:val="0"/>
      </w:numPr>
      <w:outlineLvl w:val="4"/>
    </w:pPr>
  </w:style>
  <w:style w:type="character" w:customStyle="1" w:styleId="Char1">
    <w:name w:val="三级条标题 Char"/>
    <w:link w:val="afd"/>
    <w:autoRedefine/>
    <w:qFormat/>
    <w:locked/>
    <w:rPr>
      <w:rFonts w:ascii="Times New Roman" w:eastAsia="黑体" w:hAnsi="Times New Roman"/>
      <w:b/>
      <w:sz w:val="21"/>
    </w:rPr>
  </w:style>
  <w:style w:type="paragraph" w:customStyle="1" w:styleId="ad">
    <w:name w:val="四级条标题"/>
    <w:basedOn w:val="afd"/>
    <w:next w:val="afb"/>
    <w:autoRedefine/>
    <w:qFormat/>
    <w:pPr>
      <w:numPr>
        <w:ilvl w:val="5"/>
        <w:numId w:val="2"/>
      </w:numPr>
      <w:outlineLvl w:val="5"/>
    </w:pPr>
  </w:style>
  <w:style w:type="paragraph" w:customStyle="1" w:styleId="a9">
    <w:name w:val="前言、引言标题"/>
    <w:next w:val="af"/>
    <w:autoRedefine/>
    <w:qFormat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e">
    <w:name w:val="标准文件_术语条一"/>
    <w:basedOn w:val="af"/>
    <w:next w:val="af"/>
    <w:autoRedefine/>
    <w:qFormat/>
    <w:pPr>
      <w:widowControl/>
      <w:ind w:left="720"/>
    </w:pPr>
    <w:rPr>
      <w:rFonts w:ascii="宋体" w:eastAsia="宋体" w:hAnsi="Times New Roman"/>
      <w:kern w:val="0"/>
      <w:szCs w:val="20"/>
    </w:rPr>
  </w:style>
  <w:style w:type="paragraph" w:customStyle="1" w:styleId="aff">
    <w:name w:val="标准文件_三级无标题"/>
    <w:basedOn w:val="af"/>
    <w:autoRedefine/>
    <w:qFormat/>
    <w:pPr>
      <w:widowControl/>
      <w:ind w:left="1080" w:hanging="1080"/>
    </w:pPr>
    <w:rPr>
      <w:rFonts w:ascii="宋体" w:eastAsia="宋体" w:hAnsi="Times New Roman"/>
      <w:kern w:val="0"/>
      <w:szCs w:val="20"/>
    </w:rPr>
  </w:style>
  <w:style w:type="paragraph" w:customStyle="1" w:styleId="a">
    <w:name w:val="标准文件_二级无标题"/>
    <w:basedOn w:val="aff0"/>
    <w:autoRedefine/>
    <w:qFormat/>
    <w:pPr>
      <w:numPr>
        <w:ilvl w:val="3"/>
        <w:numId w:val="3"/>
      </w:numPr>
    </w:pPr>
    <w:rPr>
      <w:rFonts w:ascii="宋体" w:eastAsia="宋体"/>
    </w:rPr>
  </w:style>
  <w:style w:type="paragraph" w:customStyle="1" w:styleId="aff0">
    <w:name w:val="标准文件_二级条标题"/>
    <w:next w:val="aff1"/>
    <w:autoRedefine/>
    <w:qFormat/>
    <w:pPr>
      <w:widowControl w:val="0"/>
      <w:spacing w:beforeLines="50" w:before="50" w:afterLines="50" w:after="50"/>
      <w:jc w:val="both"/>
      <w:outlineLvl w:val="2"/>
    </w:pPr>
    <w:rPr>
      <w:rFonts w:ascii="黑体" w:eastAsia="黑体" w:hAnsi="Times New Roman"/>
      <w:sz w:val="21"/>
    </w:rPr>
  </w:style>
  <w:style w:type="paragraph" w:customStyle="1" w:styleId="aff1">
    <w:name w:val="标准文件_段"/>
    <w:link w:val="Char2"/>
    <w:autoRedefine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aff2">
    <w:name w:val="标准文件_四级无标题"/>
    <w:basedOn w:val="af"/>
    <w:autoRedefine/>
    <w:qFormat/>
    <w:pPr>
      <w:ind w:left="1080" w:hanging="1080"/>
    </w:pPr>
    <w:rPr>
      <w:rFonts w:ascii="宋体" w:eastAsia="宋体" w:hAnsi="黑体"/>
      <w:kern w:val="0"/>
      <w:szCs w:val="52"/>
    </w:rPr>
  </w:style>
  <w:style w:type="character" w:customStyle="1" w:styleId="10">
    <w:name w:val="标题 1 字符"/>
    <w:link w:val="1"/>
    <w:autoRedefine/>
    <w:uiPriority w:val="9"/>
    <w:qFormat/>
    <w:rPr>
      <w:rFonts w:ascii="MingLiU_HKSCS" w:eastAsia="MingLiU_HKSCS" w:hAnsi="MingLiU_HKSCS" w:cs="MingLiU_HKSCS"/>
      <w:b/>
      <w:bCs/>
      <w:color w:val="000000"/>
      <w:kern w:val="44"/>
      <w:sz w:val="44"/>
      <w:szCs w:val="44"/>
      <w:lang w:eastAsia="en-US"/>
    </w:rPr>
  </w:style>
  <w:style w:type="character" w:customStyle="1" w:styleId="21">
    <w:name w:val="标题 2 字符"/>
    <w:link w:val="20"/>
    <w:autoRedefine/>
    <w:uiPriority w:val="9"/>
    <w:qFormat/>
    <w:rPr>
      <w:rFonts w:ascii="Cambria" w:eastAsia="宋体" w:hAnsi="Cambria"/>
      <w:b/>
      <w:bCs/>
      <w:color w:val="000000"/>
      <w:sz w:val="32"/>
      <w:szCs w:val="32"/>
      <w:lang w:eastAsia="en-US"/>
    </w:rPr>
  </w:style>
  <w:style w:type="character" w:customStyle="1" w:styleId="80">
    <w:name w:val="标题 8 字符"/>
    <w:link w:val="8"/>
    <w:autoRedefine/>
    <w:uiPriority w:val="9"/>
    <w:semiHidden/>
    <w:qFormat/>
    <w:rPr>
      <w:rFonts w:ascii="等线 Light" w:eastAsia="等线 Light" w:hAnsi="等线 Light"/>
      <w:kern w:val="2"/>
      <w:sz w:val="24"/>
      <w:szCs w:val="24"/>
    </w:rPr>
  </w:style>
  <w:style w:type="paragraph" w:styleId="aff3">
    <w:name w:val="List Paragraph"/>
    <w:basedOn w:val="af"/>
    <w:autoRedefine/>
    <w:uiPriority w:val="34"/>
    <w:unhideWhenUsed/>
    <w:qFormat/>
    <w:pPr>
      <w:ind w:firstLineChars="200" w:firstLine="420"/>
    </w:pPr>
  </w:style>
  <w:style w:type="character" w:customStyle="1" w:styleId="af7">
    <w:name w:val="页眉 字符"/>
    <w:basedOn w:val="af0"/>
    <w:link w:val="af6"/>
    <w:autoRedefine/>
    <w:uiPriority w:val="99"/>
    <w:qFormat/>
    <w:rPr>
      <w:kern w:val="2"/>
      <w:sz w:val="18"/>
      <w:szCs w:val="18"/>
    </w:rPr>
  </w:style>
  <w:style w:type="character" w:customStyle="1" w:styleId="af5">
    <w:name w:val="页脚 字符"/>
    <w:basedOn w:val="af0"/>
    <w:link w:val="af4"/>
    <w:autoRedefine/>
    <w:uiPriority w:val="99"/>
    <w:qFormat/>
    <w:rPr>
      <w:kern w:val="2"/>
      <w:sz w:val="18"/>
      <w:szCs w:val="18"/>
    </w:rPr>
  </w:style>
  <w:style w:type="character" w:customStyle="1" w:styleId="Char2">
    <w:name w:val="标准文件_段 Char"/>
    <w:link w:val="aff1"/>
    <w:autoRedefine/>
    <w:qFormat/>
    <w:rPr>
      <w:rFonts w:ascii="宋体" w:eastAsia="宋体" w:hAnsi="Times New Roman"/>
      <w:sz w:val="21"/>
    </w:rPr>
  </w:style>
  <w:style w:type="paragraph" w:customStyle="1" w:styleId="aff4">
    <w:name w:val="标准文件_三级条标题"/>
    <w:basedOn w:val="aff0"/>
    <w:next w:val="aff1"/>
    <w:autoRedefine/>
    <w:qFormat/>
    <w:pPr>
      <w:widowControl/>
      <w:outlineLvl w:val="3"/>
    </w:pPr>
  </w:style>
  <w:style w:type="paragraph" w:customStyle="1" w:styleId="aff5">
    <w:name w:val="标准文件_四级条标题"/>
    <w:next w:val="aff1"/>
    <w:autoRedefine/>
    <w:qFormat/>
    <w:pPr>
      <w:widowControl w:val="0"/>
      <w:spacing w:beforeLines="50" w:before="50" w:afterLines="50" w:after="50"/>
      <w:jc w:val="both"/>
      <w:outlineLvl w:val="4"/>
    </w:pPr>
    <w:rPr>
      <w:rFonts w:ascii="黑体" w:eastAsia="黑体" w:hAnsi="Times New Roman"/>
      <w:sz w:val="21"/>
    </w:rPr>
  </w:style>
  <w:style w:type="paragraph" w:customStyle="1" w:styleId="aff6">
    <w:name w:val="标准文件_五级条标题"/>
    <w:next w:val="aff1"/>
    <w:autoRedefine/>
    <w:qFormat/>
    <w:pPr>
      <w:widowControl w:val="0"/>
      <w:spacing w:beforeLines="50" w:before="50" w:afterLines="50" w:after="50"/>
      <w:jc w:val="both"/>
      <w:outlineLvl w:val="5"/>
    </w:pPr>
    <w:rPr>
      <w:rFonts w:ascii="黑体" w:eastAsia="黑体" w:hAnsi="Times New Roman"/>
      <w:sz w:val="21"/>
    </w:rPr>
  </w:style>
  <w:style w:type="paragraph" w:customStyle="1" w:styleId="aff7">
    <w:name w:val="标准文件_章标题"/>
    <w:next w:val="aff1"/>
    <w:autoRedefine/>
    <w:qFormat/>
    <w:pPr>
      <w:spacing w:beforeLines="100" w:before="100" w:afterLines="100" w:after="100"/>
      <w:jc w:val="both"/>
      <w:outlineLvl w:val="0"/>
    </w:pPr>
    <w:rPr>
      <w:rFonts w:ascii="黑体" w:eastAsia="黑体" w:hAnsi="Times New Roman"/>
      <w:sz w:val="21"/>
    </w:rPr>
  </w:style>
  <w:style w:type="paragraph" w:customStyle="1" w:styleId="aff8">
    <w:name w:val="标准文件_一级条标题"/>
    <w:basedOn w:val="aff7"/>
    <w:next w:val="aff1"/>
    <w:autoRedefine/>
    <w:qFormat/>
    <w:pPr>
      <w:spacing w:beforeLines="50" w:before="50" w:afterLines="50" w:after="50"/>
      <w:outlineLvl w:val="1"/>
    </w:pPr>
  </w:style>
  <w:style w:type="paragraph" w:customStyle="1" w:styleId="aff9">
    <w:name w:val="前言标题"/>
    <w:next w:val="af"/>
    <w:autoRedefine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0">
    <w:name w:val="标准文件_一级项"/>
    <w:autoRedefine/>
    <w:qFormat/>
    <w:pPr>
      <w:numPr>
        <w:numId w:val="4"/>
      </w:numPr>
    </w:pPr>
    <w:rPr>
      <w:rFonts w:ascii="宋体" w:hAnsi="Times New Roman"/>
      <w:sz w:val="21"/>
    </w:rPr>
  </w:style>
  <w:style w:type="paragraph" w:customStyle="1" w:styleId="a1">
    <w:name w:val="标准文件_三级项"/>
    <w:basedOn w:val="af"/>
    <w:autoRedefine/>
    <w:qFormat/>
    <w:pPr>
      <w:numPr>
        <w:ilvl w:val="2"/>
        <w:numId w:val="4"/>
      </w:numPr>
      <w:adjustRightInd w:val="0"/>
      <w:spacing w:line="-300" w:lineRule="auto"/>
    </w:pPr>
    <w:rPr>
      <w:rFonts w:ascii="Times New Roman" w:eastAsia="宋体" w:hAnsi="Times New Roman"/>
      <w:szCs w:val="21"/>
    </w:rPr>
  </w:style>
  <w:style w:type="paragraph" w:customStyle="1" w:styleId="2">
    <w:name w:val="标准文件_二级项2"/>
    <w:basedOn w:val="aff1"/>
    <w:autoRedefine/>
    <w:qFormat/>
    <w:pPr>
      <w:numPr>
        <w:ilvl w:val="1"/>
        <w:numId w:val="4"/>
      </w:numPr>
      <w:ind w:left="1271" w:firstLineChars="0" w:hanging="420"/>
    </w:pPr>
  </w:style>
  <w:style w:type="paragraph" w:customStyle="1" w:styleId="a5">
    <w:name w:val="标准文件_数字编号列项（二级）"/>
    <w:autoRedefine/>
    <w:qFormat/>
    <w:pPr>
      <w:numPr>
        <w:ilvl w:val="1"/>
        <w:numId w:val="5"/>
      </w:numPr>
      <w:jc w:val="both"/>
    </w:pPr>
    <w:rPr>
      <w:rFonts w:ascii="宋体" w:hAnsi="Times New Roman"/>
      <w:sz w:val="21"/>
    </w:rPr>
  </w:style>
  <w:style w:type="paragraph" w:customStyle="1" w:styleId="a6">
    <w:name w:val="标准文件_编号列项（三级）"/>
    <w:autoRedefine/>
    <w:qFormat/>
    <w:pPr>
      <w:numPr>
        <w:ilvl w:val="2"/>
        <w:numId w:val="5"/>
      </w:numPr>
    </w:pPr>
    <w:rPr>
      <w:rFonts w:ascii="宋体" w:hAnsi="Times New Roman"/>
      <w:sz w:val="21"/>
    </w:rPr>
  </w:style>
  <w:style w:type="paragraph" w:customStyle="1" w:styleId="a4">
    <w:name w:val="标准文件_字母编号列项（一级）"/>
    <w:autoRedefine/>
    <w:qFormat/>
    <w:pPr>
      <w:numPr>
        <w:numId w:val="5"/>
      </w:numPr>
      <w:jc w:val="both"/>
    </w:pPr>
    <w:rPr>
      <w:rFonts w:ascii="宋体" w:hAnsi="Times New Roman"/>
      <w:sz w:val="21"/>
    </w:rPr>
  </w:style>
  <w:style w:type="paragraph" w:customStyle="1" w:styleId="a7">
    <w:name w:val="标准文件_正文图标题"/>
    <w:next w:val="aff1"/>
    <w:autoRedefine/>
    <w:qFormat/>
    <w:pPr>
      <w:numPr>
        <w:numId w:val="6"/>
      </w:numPr>
      <w:spacing w:beforeLines="50" w:before="50" w:afterLines="50" w:after="50"/>
      <w:jc w:val="center"/>
    </w:pPr>
    <w:rPr>
      <w:rFonts w:ascii="黑体" w:eastAsia="黑体" w:hAnsi="Times New Roman"/>
      <w:sz w:val="21"/>
    </w:rPr>
  </w:style>
  <w:style w:type="paragraph" w:customStyle="1" w:styleId="a3">
    <w:name w:val="标准文件_图表脚注"/>
    <w:basedOn w:val="af"/>
    <w:next w:val="aff1"/>
    <w:autoRedefine/>
    <w:qFormat/>
    <w:pPr>
      <w:numPr>
        <w:numId w:val="7"/>
      </w:numPr>
      <w:jc w:val="left"/>
    </w:pPr>
    <w:rPr>
      <w:rFonts w:ascii="宋体" w:hAnsi="宋体"/>
      <w:sz w:val="18"/>
    </w:rPr>
  </w:style>
  <w:style w:type="paragraph" w:customStyle="1" w:styleId="a8">
    <w:name w:val="标准文件_正文表标题"/>
    <w:next w:val="aff1"/>
    <w:autoRedefine/>
    <w:qFormat/>
    <w:pPr>
      <w:numPr>
        <w:numId w:val="8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 w:hAnsi="Times New Roman"/>
      <w:sz w:val="21"/>
    </w:rPr>
  </w:style>
  <w:style w:type="paragraph" w:customStyle="1" w:styleId="affa">
    <w:name w:val="标准文件_表格"/>
    <w:basedOn w:val="aff1"/>
    <w:autoRedefine/>
    <w:qFormat/>
    <w:pPr>
      <w:ind w:firstLineChars="0" w:firstLine="0"/>
      <w:jc w:val="center"/>
    </w:pPr>
    <w:rPr>
      <w:sz w:val="18"/>
    </w:rPr>
  </w:style>
  <w:style w:type="paragraph" w:customStyle="1" w:styleId="ae">
    <w:name w:val="标准文件_注："/>
    <w:next w:val="aff1"/>
    <w:autoRedefine/>
    <w:qFormat/>
    <w:pPr>
      <w:widowControl w:val="0"/>
      <w:numPr>
        <w:numId w:val="9"/>
      </w:numPr>
      <w:autoSpaceDE w:val="0"/>
      <w:autoSpaceDN w:val="0"/>
      <w:jc w:val="both"/>
    </w:pPr>
    <w:rPr>
      <w:rFonts w:ascii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renzhong</dc:creator>
  <cp:lastModifiedBy>cqf_mail@163.com</cp:lastModifiedBy>
  <cp:revision>12</cp:revision>
  <dcterms:created xsi:type="dcterms:W3CDTF">2022-09-11T02:14:00Z</dcterms:created>
  <dcterms:modified xsi:type="dcterms:W3CDTF">2024-04-01T01:17:00Z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B83C03FD1A154C9F81D93CF31775AEEF_12</vt:lpwstr>
  </property>
</Properties>
</file>