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228"/>
        <w:jc w:val="center"/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《关于2024年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  <w:lang w:val="en-US" w:eastAsia="zh-CN"/>
        </w:rPr>
        <w:t>广东省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特种设备检验检测人员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228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资格考试相关事宜的说明》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一、资格许可流程与说明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（一）资格许可流程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228"/>
        <w:jc w:val="both"/>
        <w:rPr>
          <w:rFonts w:hint="eastAsia" w:ascii="宋体" w:hAnsi="宋体" w:eastAsia="宋体" w:cs="宋体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drawing>
          <wp:inline distT="0" distB="0" distL="114300" distR="114300">
            <wp:extent cx="5238750" cy="838200"/>
            <wp:effectExtent l="0" t="0" r="3810" b="0"/>
            <wp:docPr id="1" name="图片 1" descr="1615261559067062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526155906706268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228"/>
        <w:jc w:val="both"/>
        <w:rPr>
          <w:rFonts w:hint="eastAsia" w:ascii="宋体" w:hAnsi="宋体" w:eastAsia="宋体" w:cs="宋体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（二）资格许可申请的提交与受理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以下人员：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. 2024年拟申请特种设备检验检测人员资格取证的人员,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范围包括检验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员（GLY、RQY、QPY、GDY、DTY、QZY、CCY、CXY、JXY）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，以及无损检测人员（RT、UT、MT、PT项目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Ⅰ级和Ⅱ级人员）；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２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. 持有特种设备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员证书（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GLY、RQY、QPY、GDY、DTY、QZY、CCY、CXY、JXY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有需要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于2024年考试换证的人员；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３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. 持有特种设备无损检测人员证书（RT、UT、MT、PT项目Ⅱ级人员）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有需要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于2024年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考试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换证的人员。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以上人员相应许可项目的申请应在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广东政务服务网（网址：https://www.gdzwfw.gov.cn）进行报名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，相关人员应据实填写各项申请信息（包括学历与专业背景），提交许可申请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申请受理通过后再履行考试预约程序（对于免考换证人员，申请受理后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>由省市场监督管理局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直接换发对应许可项目的资格证书）。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（三）考试预约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许可申请受理通过后，申请人应按照我协会公布的《2024年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广东省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特种设备检验检测人员资格考试计划》，于报考项目预约截止日期前登录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广东政务服务网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进行考试预约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（四）考试结果查询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考试结束的20个工作日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内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，申请人可登录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广东政务服务网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查询考试结果。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二、相关重点关注事项：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（一）资料提交与审核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申请人在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许可申请受理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时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所提交的资料，必须与许可申请填报的信息相一致。包括学历证书（特别是专业名称信息）、低级别资格证书等，并对所提交资料的真实性负责。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）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考试报到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现场核验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考生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须携带“学历证书”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和“身份证”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原件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等有关证书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至考试现场进行核验。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考试机构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在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班群里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公布参加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本期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考试人员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的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名单后，名单内人员因自身原因，不能如期参加已安排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班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次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考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试的，当年度不再安排本项目其他期次的考试。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Style w:val="5"/>
          <w:rFonts w:hint="default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（三）其他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符合补考条件的人员，应按照相关规定进行考试预约并参加相应项目考试。已预约成功但未参加考试的人员，将失去补考机会；考试未通过者，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应在行政许可规定时限内参加补考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，否则将失去补考机会。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申请人应根据本人工作安排及具体情况慎重预约考试。已预约成功并由我协会安排相应考试的申请人，如因本人原因未参加考试，以致造成公共资源无效使用的，计入考生诚信记录。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2EyMjM2ZjI5ZmNhNzQ1YTZiZjEyYjQ0OTVkMmMifQ=="/>
  </w:docVars>
  <w:rsids>
    <w:rsidRoot w:val="40E82BDC"/>
    <w:rsid w:val="0BC87EE4"/>
    <w:rsid w:val="23321A1F"/>
    <w:rsid w:val="394410FD"/>
    <w:rsid w:val="40E82BDC"/>
    <w:rsid w:val="4A2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1027</Characters>
  <Lines>0</Lines>
  <Paragraphs>0</Paragraphs>
  <TotalTime>0</TotalTime>
  <ScaleCrop>false</ScaleCrop>
  <LinksUpToDate>false</LinksUpToDate>
  <CharactersWithSpaces>1158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2024-05-20T02:44:00Z</dcterms:created>
  <dc:creator>Gengyanni</dc:creator>
  <cp:lastModifiedBy>Gengyanni</cp:lastModifiedBy>
  <dcterms:modified xsi:type="dcterms:W3CDTF">2024-05-22T02:51:41Z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4A899001D9A2470AA696AB13C762A292_11</vt:lpwstr>
  </property>
</Properties>
</file>